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A15FA" w14:textId="3F9536CC" w:rsidR="0074405B" w:rsidRPr="00E71D37" w:rsidRDefault="000D50E6" w:rsidP="0074405B">
      <w:pPr>
        <w:pStyle w:val="3GPPHeader"/>
        <w:spacing w:after="60"/>
        <w:rPr>
          <w:sz w:val="32"/>
          <w:szCs w:val="32"/>
          <w:highlight w:val="yellow"/>
          <w:lang w:val="en-US"/>
        </w:rPr>
      </w:pPr>
      <w:r w:rsidRPr="00B6338A">
        <w:rPr>
          <w:rFonts w:ascii="Arial" w:hAnsi="Arial" w:cs="Arial"/>
          <w:lang w:val="en-US"/>
        </w:rPr>
        <w:t xml:space="preserve">3GPP TSG-RAN </w:t>
      </w:r>
      <w:r w:rsidR="00B82B7F" w:rsidRPr="00B6338A">
        <w:rPr>
          <w:rFonts w:ascii="Arial" w:hAnsi="Arial" w:cs="Arial"/>
          <w:lang w:val="en-US"/>
        </w:rPr>
        <w:t xml:space="preserve">WG1 </w:t>
      </w:r>
      <w:r w:rsidRPr="00B6338A">
        <w:rPr>
          <w:rFonts w:ascii="Arial" w:hAnsi="Arial" w:cs="Arial"/>
          <w:lang w:val="en-US"/>
        </w:rPr>
        <w:t>Meeting #</w:t>
      </w:r>
      <w:r w:rsidR="00B82B7F" w:rsidRPr="00B6338A">
        <w:rPr>
          <w:rFonts w:ascii="Arial" w:hAnsi="Arial" w:cs="Arial"/>
          <w:lang w:val="en-US"/>
        </w:rPr>
        <w:t>92</w:t>
      </w:r>
      <w:r w:rsidR="0074405B" w:rsidRPr="00E71D37">
        <w:rPr>
          <w:lang w:val="en-US"/>
        </w:rPr>
        <w:tab/>
      </w:r>
      <w:r w:rsidR="00897731" w:rsidRPr="00E71D37">
        <w:rPr>
          <w:sz w:val="32"/>
          <w:szCs w:val="32"/>
          <w:lang w:val="en-US"/>
        </w:rPr>
        <w:t>R1-1802775</w:t>
      </w:r>
    </w:p>
    <w:p w14:paraId="1E49FE1A" w14:textId="6E4869E8" w:rsidR="0074405B" w:rsidRDefault="00E436AC" w:rsidP="0074405B">
      <w:pPr>
        <w:pStyle w:val="CRCoverPage"/>
        <w:outlineLvl w:val="0"/>
        <w:rPr>
          <w:b/>
          <w:noProof/>
          <w:sz w:val="24"/>
        </w:rPr>
      </w:pPr>
      <w:r>
        <w:rPr>
          <w:b/>
          <w:noProof/>
          <w:sz w:val="24"/>
        </w:rPr>
        <w:t>Athens, Greece, 26</w:t>
      </w:r>
      <w:r w:rsidRPr="00E436AC">
        <w:rPr>
          <w:b/>
          <w:noProof/>
          <w:sz w:val="24"/>
          <w:vertAlign w:val="superscript"/>
        </w:rPr>
        <w:t>th</w:t>
      </w:r>
      <w:r>
        <w:rPr>
          <w:b/>
          <w:noProof/>
          <w:sz w:val="24"/>
        </w:rPr>
        <w:t xml:space="preserve"> Feb. – </w:t>
      </w:r>
      <w:r w:rsidR="00CE3B61">
        <w:rPr>
          <w:b/>
          <w:noProof/>
          <w:sz w:val="24"/>
        </w:rPr>
        <w:t>2</w:t>
      </w:r>
      <w:r w:rsidR="00CE3B61" w:rsidRPr="00CE3B61">
        <w:rPr>
          <w:b/>
          <w:noProof/>
          <w:sz w:val="24"/>
          <w:vertAlign w:val="superscript"/>
        </w:rPr>
        <w:t>nd</w:t>
      </w:r>
      <w:r>
        <w:rPr>
          <w:b/>
          <w:noProof/>
          <w:sz w:val="24"/>
        </w:rPr>
        <w:t xml:space="preserve"> March</w:t>
      </w:r>
      <w:r w:rsidR="000D50E6" w:rsidRPr="0081693B">
        <w:rPr>
          <w:b/>
          <w:noProof/>
          <w:sz w:val="24"/>
        </w:rPr>
        <w:t xml:space="preserve"> 2018</w:t>
      </w:r>
    </w:p>
    <w:p w14:paraId="17A5DC9A" w14:textId="77777777" w:rsidR="00E90E49" w:rsidRPr="00E71D37" w:rsidRDefault="00E90E49" w:rsidP="00357380">
      <w:pPr>
        <w:pStyle w:val="3GPPHeader"/>
        <w:rPr>
          <w:lang w:val="en-US"/>
        </w:rPr>
      </w:pPr>
    </w:p>
    <w:p w14:paraId="510CB96A" w14:textId="6BA46878" w:rsidR="00E90E49" w:rsidRPr="00D50701" w:rsidRDefault="00E90E49" w:rsidP="00311702">
      <w:pPr>
        <w:pStyle w:val="3GPPHeader"/>
        <w:rPr>
          <w:sz w:val="22"/>
          <w:lang w:val="en-US"/>
        </w:rPr>
      </w:pPr>
      <w:r w:rsidRPr="00D50701">
        <w:rPr>
          <w:sz w:val="22"/>
          <w:lang w:val="en-US"/>
        </w:rPr>
        <w:t>Agenda Item:</w:t>
      </w:r>
      <w:r w:rsidRPr="00D50701">
        <w:rPr>
          <w:sz w:val="22"/>
          <w:lang w:val="en-US"/>
        </w:rPr>
        <w:tab/>
      </w:r>
      <w:r w:rsidR="00B82B7F" w:rsidRPr="00D50701">
        <w:rPr>
          <w:sz w:val="22"/>
          <w:lang w:val="en-US"/>
        </w:rPr>
        <w:t>7.6.5</w:t>
      </w:r>
    </w:p>
    <w:p w14:paraId="7031FD8F" w14:textId="77777777" w:rsidR="00E90E49" w:rsidRPr="00E71D37" w:rsidRDefault="003D3C45" w:rsidP="00F64C2B">
      <w:pPr>
        <w:pStyle w:val="3GPPHeader"/>
        <w:rPr>
          <w:sz w:val="22"/>
          <w:lang w:val="en-US"/>
        </w:rPr>
      </w:pPr>
      <w:r w:rsidRPr="00E71D37">
        <w:rPr>
          <w:sz w:val="22"/>
          <w:lang w:val="en-US"/>
        </w:rPr>
        <w:t>Source:</w:t>
      </w:r>
      <w:r w:rsidR="00E90E49" w:rsidRPr="00E71D37">
        <w:rPr>
          <w:sz w:val="22"/>
          <w:lang w:val="en-US"/>
        </w:rPr>
        <w:tab/>
      </w:r>
      <w:r w:rsidR="00F64C2B" w:rsidRPr="00E71D37">
        <w:rPr>
          <w:sz w:val="22"/>
          <w:lang w:val="en-US"/>
        </w:rPr>
        <w:t>Ericsson</w:t>
      </w:r>
    </w:p>
    <w:p w14:paraId="48D93FEC" w14:textId="57F0BA0D" w:rsidR="00E90E49" w:rsidRPr="00E71D37" w:rsidRDefault="003D3C45" w:rsidP="00311702">
      <w:pPr>
        <w:pStyle w:val="3GPPHeader"/>
        <w:rPr>
          <w:sz w:val="22"/>
          <w:lang w:val="en-US"/>
        </w:rPr>
      </w:pPr>
      <w:r w:rsidRPr="00E71D37">
        <w:rPr>
          <w:sz w:val="22"/>
          <w:lang w:val="en-US"/>
        </w:rPr>
        <w:t>Title:</w:t>
      </w:r>
      <w:r w:rsidR="00E90E49" w:rsidRPr="00E71D37">
        <w:rPr>
          <w:sz w:val="22"/>
          <w:lang w:val="en-US"/>
        </w:rPr>
        <w:tab/>
      </w:r>
      <w:r w:rsidR="000D50E6" w:rsidRPr="00897731">
        <w:rPr>
          <w:sz w:val="22"/>
          <w:lang w:val="en-US"/>
        </w:rPr>
        <w:t xml:space="preserve">On </w:t>
      </w:r>
      <w:r w:rsidR="00B82B7F" w:rsidRPr="00897731">
        <w:rPr>
          <w:sz w:val="22"/>
          <w:lang w:val="en-US"/>
        </w:rPr>
        <w:t>NR operation in 60GHz unlicensed band</w:t>
      </w:r>
      <w:r w:rsidR="00B82B7F">
        <w:rPr>
          <w:sz w:val="20"/>
          <w:lang w:val="en-US"/>
        </w:rPr>
        <w:t xml:space="preserve"> </w:t>
      </w:r>
    </w:p>
    <w:p w14:paraId="51762D01" w14:textId="77777777" w:rsidR="00E90E49" w:rsidRPr="00CE0424" w:rsidRDefault="00E90E49" w:rsidP="00D546FF">
      <w:pPr>
        <w:pStyle w:val="3GPPHeader"/>
        <w:rPr>
          <w:sz w:val="22"/>
        </w:rPr>
      </w:pPr>
      <w:proofErr w:type="spellStart"/>
      <w:r w:rsidRPr="00CE0424">
        <w:rPr>
          <w:sz w:val="22"/>
        </w:rPr>
        <w:t>Document</w:t>
      </w:r>
      <w:proofErr w:type="spellEnd"/>
      <w:r w:rsidRPr="00CE0424">
        <w:rPr>
          <w:sz w:val="22"/>
        </w:rPr>
        <w:t xml:space="preserve"> for:</w:t>
      </w:r>
      <w:r w:rsidRPr="00CE0424">
        <w:rPr>
          <w:sz w:val="22"/>
        </w:rPr>
        <w:tab/>
      </w:r>
      <w:proofErr w:type="spellStart"/>
      <w:r w:rsidRPr="00CE3B61">
        <w:rPr>
          <w:sz w:val="22"/>
        </w:rPr>
        <w:t>Discussion</w:t>
      </w:r>
      <w:proofErr w:type="spellEnd"/>
      <w:r w:rsidRPr="00CE3B61">
        <w:rPr>
          <w:sz w:val="22"/>
        </w:rPr>
        <w:t>, Decision</w:t>
      </w:r>
    </w:p>
    <w:p w14:paraId="3DA96B43" w14:textId="77777777" w:rsidR="00E90E49" w:rsidRPr="00CE0424" w:rsidRDefault="00E90E49" w:rsidP="00E90E49"/>
    <w:p w14:paraId="2784B266" w14:textId="77777777" w:rsidR="00E90E49" w:rsidRPr="00CE0424" w:rsidRDefault="00E90E49" w:rsidP="00CE0424">
      <w:pPr>
        <w:pStyle w:val="Heading1"/>
      </w:pPr>
      <w:r w:rsidRPr="00CE0424">
        <w:t>Introduction</w:t>
      </w:r>
    </w:p>
    <w:p w14:paraId="28BCAA5B" w14:textId="77777777" w:rsidR="000D50E6" w:rsidRPr="00E71D37" w:rsidRDefault="000D50E6" w:rsidP="000D50E6">
      <w:pPr>
        <w:pStyle w:val="BodyText"/>
        <w:rPr>
          <w:lang w:val="en-US"/>
        </w:rPr>
      </w:pPr>
      <w:proofErr w:type="gramStart"/>
      <w:r w:rsidRPr="00E71D37">
        <w:rPr>
          <w:lang w:val="en-US"/>
        </w:rPr>
        <w:t>In order to</w:t>
      </w:r>
      <w:proofErr w:type="gramEnd"/>
      <w:r w:rsidRPr="00E71D37">
        <w:rPr>
          <w:lang w:val="en-US"/>
        </w:rPr>
        <w:t xml:space="preserve"> efficiently utilize the large amounts of unlicensed spectrum available worldwide, both licensed operation and unlicensed operation are considered for NR. At RAN-75, a study item </w:t>
      </w:r>
      <w:bookmarkStart w:id="0" w:name="_GoBack"/>
      <w:bookmarkEnd w:id="0"/>
      <w:r w:rsidRPr="00E71D37">
        <w:rPr>
          <w:lang w:val="en-US"/>
        </w:rPr>
        <w:t xml:space="preserve">on NR-based Access to Unlicensed Spectrum was approved </w:t>
      </w:r>
      <w:r>
        <w:fldChar w:fldCharType="begin"/>
      </w:r>
      <w:r w:rsidRPr="00E71D37">
        <w:rPr>
          <w:lang w:val="en-US"/>
        </w:rPr>
        <w:instrText xml:space="preserve"> REF _Ref481486326 \r \h </w:instrText>
      </w:r>
      <w:r>
        <w:fldChar w:fldCharType="separate"/>
      </w:r>
      <w:r w:rsidRPr="00E71D37">
        <w:rPr>
          <w:lang w:val="en-US"/>
        </w:rPr>
        <w:t>[1]</w:t>
      </w:r>
      <w:r>
        <w:fldChar w:fldCharType="end"/>
      </w:r>
      <w:r w:rsidRPr="00E71D37">
        <w:rPr>
          <w:lang w:val="en-US"/>
        </w:rPr>
        <w:t>. One objective is to:</w:t>
      </w:r>
    </w:p>
    <w:p w14:paraId="68E01A7B" w14:textId="77777777" w:rsidR="000D50E6" w:rsidRPr="00E71D37" w:rsidRDefault="000D50E6" w:rsidP="000D50E6">
      <w:pPr>
        <w:numPr>
          <w:ilvl w:val="0"/>
          <w:numId w:val="14"/>
        </w:numPr>
        <w:spacing w:after="0"/>
        <w:rPr>
          <w:bCs/>
          <w:i/>
          <w:lang w:val="en-US"/>
        </w:rPr>
      </w:pPr>
      <w:r w:rsidRPr="00E71D37">
        <w:rPr>
          <w:bCs/>
          <w:i/>
          <w:lang w:val="en-US"/>
        </w:rPr>
        <w:t xml:space="preserve">Study NR-based operation in unlicensed spectrum (RAN1, RAN2, RAN4) including </w:t>
      </w:r>
    </w:p>
    <w:p w14:paraId="7864CE13" w14:textId="77777777" w:rsidR="000D50E6" w:rsidRPr="00E71D37" w:rsidRDefault="000D50E6" w:rsidP="000D50E6">
      <w:pPr>
        <w:numPr>
          <w:ilvl w:val="1"/>
          <w:numId w:val="15"/>
        </w:numPr>
        <w:spacing w:after="0"/>
        <w:rPr>
          <w:bCs/>
          <w:i/>
          <w:lang w:val="en-US"/>
        </w:rPr>
      </w:pPr>
      <w:r w:rsidRPr="00E71D37">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4E42B699" w14:textId="77777777" w:rsidR="000D50E6" w:rsidRPr="00E71D37" w:rsidRDefault="000D50E6" w:rsidP="000D50E6">
      <w:pPr>
        <w:numPr>
          <w:ilvl w:val="2"/>
          <w:numId w:val="15"/>
        </w:numPr>
        <w:spacing w:after="0"/>
        <w:rPr>
          <w:bCs/>
          <w:i/>
          <w:lang w:val="en-US"/>
        </w:rPr>
      </w:pPr>
      <w:r w:rsidRPr="00E71D37">
        <w:rPr>
          <w:bCs/>
          <w:i/>
          <w:lang w:val="en-US"/>
        </w:rPr>
        <w:t>Consider unlicensed bands both below and above 6GHz, up to 52.6GHz</w:t>
      </w:r>
    </w:p>
    <w:p w14:paraId="7063E39F" w14:textId="77777777" w:rsidR="000D50E6" w:rsidRPr="00E71D37" w:rsidRDefault="000D50E6" w:rsidP="000D50E6">
      <w:pPr>
        <w:numPr>
          <w:ilvl w:val="2"/>
          <w:numId w:val="15"/>
        </w:numPr>
        <w:spacing w:after="0"/>
        <w:rPr>
          <w:bCs/>
          <w:i/>
          <w:lang w:val="en-US"/>
        </w:rPr>
      </w:pPr>
      <w:r w:rsidRPr="00E71D37">
        <w:rPr>
          <w:bCs/>
          <w:i/>
          <w:lang w:val="en-US"/>
        </w:rPr>
        <w:t xml:space="preserve">Consider unlicensed bands above 52.6GHz to the extent that waveform design principles remain unchanged with respect to below 52.6GHz bands </w:t>
      </w:r>
    </w:p>
    <w:p w14:paraId="43203503" w14:textId="77777777" w:rsidR="000D50E6" w:rsidRPr="00E71D37" w:rsidRDefault="000D50E6" w:rsidP="000D50E6">
      <w:pPr>
        <w:numPr>
          <w:ilvl w:val="2"/>
          <w:numId w:val="15"/>
        </w:numPr>
        <w:spacing w:after="0"/>
        <w:rPr>
          <w:bCs/>
          <w:i/>
          <w:lang w:val="en-US"/>
        </w:rPr>
      </w:pPr>
      <w:r w:rsidRPr="00E71D37">
        <w:rPr>
          <w:rFonts w:hint="eastAsia"/>
          <w:bCs/>
          <w:i/>
          <w:lang w:val="en-US"/>
        </w:rPr>
        <w:t xml:space="preserve">Consider similar forward compatibility </w:t>
      </w:r>
      <w:r w:rsidRPr="00E71D37">
        <w:rPr>
          <w:bCs/>
          <w:i/>
          <w:lang w:val="en-US"/>
        </w:rPr>
        <w:t>principles</w:t>
      </w:r>
      <w:r w:rsidRPr="00E71D37">
        <w:rPr>
          <w:rFonts w:hint="eastAsia"/>
          <w:bCs/>
          <w:i/>
          <w:lang w:val="en-US"/>
        </w:rPr>
        <w:t xml:space="preserve"> made in the NR WI</w:t>
      </w:r>
      <w:r w:rsidRPr="00E71D37">
        <w:rPr>
          <w:bCs/>
          <w:i/>
          <w:lang w:val="en-US"/>
        </w:rPr>
        <w:t xml:space="preserve"> </w:t>
      </w:r>
    </w:p>
    <w:p w14:paraId="459E7D72" w14:textId="77777777" w:rsidR="000D50E6" w:rsidRPr="00E71D37" w:rsidRDefault="000D50E6" w:rsidP="000D50E6">
      <w:pPr>
        <w:numPr>
          <w:ilvl w:val="1"/>
          <w:numId w:val="15"/>
        </w:numPr>
        <w:spacing w:after="0"/>
        <w:rPr>
          <w:bCs/>
          <w:i/>
          <w:lang w:val="en-US"/>
        </w:rPr>
      </w:pPr>
      <w:r w:rsidRPr="00E71D37">
        <w:rPr>
          <w:bCs/>
          <w:i/>
          <w:lang w:val="en-US"/>
        </w:rPr>
        <w:t>Initial access, channel access. Scheduling/HARQ, and mobility including connected/inactive/idle mode operation and radio-link monitoring/failure</w:t>
      </w:r>
    </w:p>
    <w:p w14:paraId="6C3F5195" w14:textId="77777777" w:rsidR="000D50E6" w:rsidRPr="00E71D37" w:rsidRDefault="000D50E6" w:rsidP="000D50E6">
      <w:pPr>
        <w:numPr>
          <w:ilvl w:val="1"/>
          <w:numId w:val="15"/>
        </w:numPr>
        <w:spacing w:after="0"/>
        <w:rPr>
          <w:bCs/>
          <w:i/>
          <w:lang w:val="en-US"/>
        </w:rPr>
      </w:pPr>
      <w:r w:rsidRPr="00E71D37">
        <w:rPr>
          <w:bCs/>
          <w:i/>
          <w:lang w:val="en-US"/>
        </w:rPr>
        <w:t xml:space="preserve">Coexistence methods within NR-based and between NR-based operation in unlicensed and LTE-based LAA and with other incumbent RATs in accordance with regulatory requirements in e.g., 5GHz, 37GHz, </w:t>
      </w:r>
      <w:r w:rsidRPr="00E71D37">
        <w:rPr>
          <w:b/>
          <w:bCs/>
          <w:i/>
          <w:lang w:val="en-US"/>
        </w:rPr>
        <w:t>60GHz bands</w:t>
      </w:r>
      <w:r w:rsidRPr="00E71D37">
        <w:rPr>
          <w:bCs/>
          <w:i/>
          <w:lang w:val="en-US"/>
        </w:rPr>
        <w:t xml:space="preserve"> </w:t>
      </w:r>
    </w:p>
    <w:p w14:paraId="5429B2CB" w14:textId="77777777" w:rsidR="000D50E6" w:rsidRPr="00E71D37" w:rsidRDefault="000D50E6" w:rsidP="000D50E6">
      <w:pPr>
        <w:numPr>
          <w:ilvl w:val="2"/>
          <w:numId w:val="15"/>
        </w:numPr>
        <w:spacing w:after="0"/>
        <w:rPr>
          <w:bCs/>
          <w:i/>
          <w:lang w:val="en-US"/>
        </w:rPr>
      </w:pPr>
      <w:r w:rsidRPr="00E71D37">
        <w:rPr>
          <w:bCs/>
          <w:i/>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5EBD04B7" w14:textId="78B13696" w:rsidR="000D50E6" w:rsidRPr="00E71D37" w:rsidRDefault="000D50E6" w:rsidP="000D50E6">
      <w:pPr>
        <w:rPr>
          <w:bCs/>
          <w:i/>
          <w:lang w:val="en-US"/>
        </w:rPr>
      </w:pPr>
    </w:p>
    <w:p w14:paraId="146ABAB2" w14:textId="4D2549BC" w:rsidR="00D3005B" w:rsidRPr="00E71D37" w:rsidRDefault="000D50E6" w:rsidP="00CE0424">
      <w:pPr>
        <w:pStyle w:val="BodyText"/>
        <w:rPr>
          <w:lang w:val="en-US"/>
        </w:rPr>
      </w:pPr>
      <w:r w:rsidRPr="00E71D37">
        <w:rPr>
          <w:lang w:val="en-US"/>
        </w:rPr>
        <w:t xml:space="preserve">In this contribution, we discuss </w:t>
      </w:r>
      <w:r w:rsidR="00B82B7F" w:rsidRPr="00E71D37">
        <w:rPr>
          <w:lang w:val="en-US"/>
        </w:rPr>
        <w:t>NR operation in 60GHz unlicensed band</w:t>
      </w:r>
      <w:r w:rsidR="00E436AC" w:rsidRPr="00E71D37">
        <w:rPr>
          <w:lang w:val="en-US"/>
        </w:rPr>
        <w:t xml:space="preserve"> in different aspects</w:t>
      </w:r>
      <w:r w:rsidRPr="00E71D37">
        <w:rPr>
          <w:lang w:val="en-US"/>
        </w:rPr>
        <w:t>.</w:t>
      </w:r>
    </w:p>
    <w:p w14:paraId="5D890CD0" w14:textId="70BA23C3" w:rsidR="001643A8" w:rsidRDefault="004000E8" w:rsidP="00CE0424">
      <w:pPr>
        <w:pStyle w:val="Heading1"/>
      </w:pPr>
      <w:bookmarkStart w:id="1" w:name="_Ref178064866"/>
      <w:r w:rsidRPr="00CE0424">
        <w:t>Discussion</w:t>
      </w:r>
      <w:bookmarkEnd w:id="1"/>
    </w:p>
    <w:p w14:paraId="3367E170" w14:textId="77777777" w:rsidR="00D31324" w:rsidRDefault="00D31324" w:rsidP="00D31324">
      <w:pPr>
        <w:pStyle w:val="Heading2"/>
      </w:pPr>
      <w:r>
        <w:t>60GHz regulation rules</w:t>
      </w:r>
    </w:p>
    <w:p w14:paraId="2FFADE10" w14:textId="7432DDF0" w:rsidR="00D31324" w:rsidRPr="00E71D37" w:rsidRDefault="00D31324" w:rsidP="00D31324">
      <w:pPr>
        <w:pStyle w:val="BodyText"/>
        <w:rPr>
          <w:lang w:val="en-US"/>
        </w:rPr>
      </w:pPr>
      <w:r w:rsidRPr="00E71D37">
        <w:rPr>
          <w:lang w:val="en-US"/>
        </w:rPr>
        <w:t xml:space="preserve">Unlicensed spectrum regulations typically include occupied bandwidth constraints, radio duty cycle restrictions, limits on transmit power, equivalent isotropically radiated power (EIRP), power spectrum density (PSD) and possibly channel access rules in some regions. The 60 GHz unlicensed spectrum offers </w:t>
      </w:r>
      <w:r w:rsidRPr="00E71D37">
        <w:rPr>
          <w:lang w:val="en-US"/>
        </w:rPr>
        <w:lastRenderedPageBreak/>
        <w:t>large utilizable contiguous bandwidths in different regions of the world. In</w:t>
      </w:r>
      <w:r w:rsidR="00B74ACB" w:rsidRPr="00E71D37">
        <w:rPr>
          <w:lang w:val="en-US"/>
        </w:rPr>
        <w:t xml:space="preserve"> Table 1</w:t>
      </w:r>
      <w:r w:rsidRPr="00E71D37">
        <w:rPr>
          <w:lang w:val="en-US"/>
        </w:rPr>
        <w:t>, we give an overview of the Radio LAN regulations in different regions</w:t>
      </w:r>
      <w:r w:rsidR="00B74ACB" w:rsidRPr="00E71D37">
        <w:rPr>
          <w:lang w:val="en-US"/>
        </w:rPr>
        <w:t xml:space="preserve">, i.e. in Europe </w:t>
      </w:r>
      <w:r w:rsidR="007F7B9C">
        <w:fldChar w:fldCharType="begin"/>
      </w:r>
      <w:r w:rsidR="007F7B9C" w:rsidRPr="00E71D37">
        <w:rPr>
          <w:lang w:val="en-US"/>
        </w:rPr>
        <w:instrText xml:space="preserve"> REF _Ref462951715 \r \h </w:instrText>
      </w:r>
      <w:r w:rsidR="007F7B9C">
        <w:fldChar w:fldCharType="separate"/>
      </w:r>
      <w:r w:rsidR="007F7B9C" w:rsidRPr="00E71D37">
        <w:rPr>
          <w:lang w:val="en-US"/>
        </w:rPr>
        <w:t>[2]</w:t>
      </w:r>
      <w:r w:rsidR="007F7B9C">
        <w:fldChar w:fldCharType="end"/>
      </w:r>
      <w:r w:rsidR="007F7B9C" w:rsidRPr="00E71D37">
        <w:rPr>
          <w:lang w:val="en-US"/>
        </w:rPr>
        <w:t xml:space="preserve">, US </w:t>
      </w:r>
      <w:r w:rsidR="007F7B9C">
        <w:fldChar w:fldCharType="begin"/>
      </w:r>
      <w:r w:rsidR="007F7B9C" w:rsidRPr="00E71D37">
        <w:rPr>
          <w:lang w:val="en-US"/>
        </w:rPr>
        <w:instrText xml:space="preserve"> REF _Ref505774553 \r \h </w:instrText>
      </w:r>
      <w:r w:rsidR="007F7B9C">
        <w:fldChar w:fldCharType="separate"/>
      </w:r>
      <w:r w:rsidR="007F7B9C" w:rsidRPr="00E71D37">
        <w:rPr>
          <w:lang w:val="en-US"/>
        </w:rPr>
        <w:t>[3]</w:t>
      </w:r>
      <w:r w:rsidR="007F7B9C">
        <w:fldChar w:fldCharType="end"/>
      </w:r>
      <w:r w:rsidR="007F7B9C" w:rsidRPr="00E71D37">
        <w:rPr>
          <w:lang w:val="en-US"/>
        </w:rPr>
        <w:t xml:space="preserve"> and China</w:t>
      </w:r>
      <w:r w:rsidRPr="00E71D37">
        <w:rPr>
          <w:lang w:val="en-US"/>
        </w:rPr>
        <w:t>.</w:t>
      </w:r>
    </w:p>
    <w:p w14:paraId="21B76D08" w14:textId="0FD16049" w:rsidR="00B74ACB" w:rsidRPr="00E71D37" w:rsidRDefault="00B74ACB" w:rsidP="00B74ACB">
      <w:pPr>
        <w:pStyle w:val="BodyText"/>
        <w:rPr>
          <w:b/>
          <w:lang w:val="en-US"/>
        </w:rPr>
      </w:pPr>
      <w:r w:rsidRPr="00E71D37">
        <w:rPr>
          <w:lang w:val="en-US"/>
        </w:rPr>
        <w:t xml:space="preserve"> </w:t>
      </w:r>
      <w:r w:rsidRPr="00E71D37">
        <w:rPr>
          <w:b/>
          <w:lang w:val="en-US"/>
        </w:rPr>
        <w:t>Table 1 summarizes the regulations discussed above in Europe, USA and China.</w:t>
      </w:r>
    </w:p>
    <w:p w14:paraId="14DE8FDF" w14:textId="05F26DE7" w:rsidR="00B74ACB" w:rsidRDefault="00B74ACB" w:rsidP="00B74ACB">
      <w:pPr>
        <w:pStyle w:val="BodyText"/>
      </w:pPr>
      <w:r w:rsidRPr="00E71D37">
        <w:rPr>
          <w:lang w:val="en-US"/>
        </w:rPr>
        <w:t xml:space="preserve"> </w:t>
      </w:r>
      <w:r>
        <w:rPr>
          <w:noProof/>
        </w:rPr>
        <w:drawing>
          <wp:inline distT="0" distB="0" distL="0" distR="0" wp14:anchorId="394207D3" wp14:editId="3A3D8918">
            <wp:extent cx="5989320" cy="2635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1194" cy="2640280"/>
                    </a:xfrm>
                    <a:prstGeom prst="rect">
                      <a:avLst/>
                    </a:prstGeom>
                    <a:noFill/>
                  </pic:spPr>
                </pic:pic>
              </a:graphicData>
            </a:graphic>
          </wp:inline>
        </w:drawing>
      </w:r>
    </w:p>
    <w:p w14:paraId="7860E0BE" w14:textId="7BDFAEA5" w:rsidR="007F7B9C" w:rsidRDefault="007F7B9C" w:rsidP="00B74ACB">
      <w:pPr>
        <w:pStyle w:val="BodyText"/>
      </w:pPr>
    </w:p>
    <w:p w14:paraId="01CFB110" w14:textId="2E05D939" w:rsidR="007C369B" w:rsidRPr="00E71D37" w:rsidRDefault="007F7B9C" w:rsidP="00D31324">
      <w:pPr>
        <w:pStyle w:val="BodyText"/>
        <w:rPr>
          <w:lang w:val="en-US"/>
        </w:rPr>
      </w:pPr>
      <w:r w:rsidRPr="00E71D37">
        <w:rPr>
          <w:lang w:val="en-US"/>
        </w:rPr>
        <w:t xml:space="preserve">Regarding channel access regulation, Europe is </w:t>
      </w:r>
      <w:r w:rsidR="00216800" w:rsidRPr="00E71D37">
        <w:rPr>
          <w:lang w:val="en-US"/>
        </w:rPr>
        <w:t xml:space="preserve">making listen before </w:t>
      </w:r>
      <w:proofErr w:type="gramStart"/>
      <w:r w:rsidR="00216800" w:rsidRPr="00E71D37">
        <w:rPr>
          <w:lang w:val="en-US"/>
        </w:rPr>
        <w:t>talk</w:t>
      </w:r>
      <w:proofErr w:type="gramEnd"/>
      <w:r w:rsidR="00216800" w:rsidRPr="00E71D37">
        <w:rPr>
          <w:lang w:val="en-US"/>
        </w:rPr>
        <w:t xml:space="preserve"> (LBT) mandatory </w:t>
      </w:r>
      <w:r w:rsidR="007C1441" w:rsidRPr="00E71D37">
        <w:rPr>
          <w:lang w:val="en-US"/>
        </w:rPr>
        <w:t>for coexistence purposes</w:t>
      </w:r>
      <w:r w:rsidR="00216800" w:rsidRPr="00E71D37">
        <w:rPr>
          <w:lang w:val="en-US"/>
        </w:rPr>
        <w:t xml:space="preserve"> (see section 4.2.5.3 in </w:t>
      </w:r>
      <w:r w:rsidR="00216800">
        <w:fldChar w:fldCharType="begin"/>
      </w:r>
      <w:r w:rsidR="00216800" w:rsidRPr="00E71D37">
        <w:rPr>
          <w:lang w:val="en-US"/>
        </w:rPr>
        <w:instrText xml:space="preserve"> REF _Ref462951715 \r \h </w:instrText>
      </w:r>
      <w:r w:rsidR="00216800">
        <w:fldChar w:fldCharType="separate"/>
      </w:r>
      <w:r w:rsidR="00216800" w:rsidRPr="00E71D37">
        <w:rPr>
          <w:lang w:val="en-US"/>
        </w:rPr>
        <w:t>[2]</w:t>
      </w:r>
      <w:r w:rsidR="00216800">
        <w:fldChar w:fldCharType="end"/>
      </w:r>
      <w:r w:rsidR="00216800" w:rsidRPr="00E71D37">
        <w:rPr>
          <w:lang w:val="en-US"/>
        </w:rPr>
        <w:t xml:space="preserve">). This rule seems a simple </w:t>
      </w:r>
      <w:r w:rsidR="007C1441" w:rsidRPr="00E71D37">
        <w:rPr>
          <w:lang w:val="en-US"/>
        </w:rPr>
        <w:t xml:space="preserve">adoption </w:t>
      </w:r>
      <w:r w:rsidR="00216800" w:rsidRPr="00E71D37">
        <w:rPr>
          <w:lang w:val="en-US"/>
        </w:rPr>
        <w:t>of the channel access rules in 5GHz without sufficient studies, evaluations and discussions</w:t>
      </w:r>
      <w:r w:rsidR="007C1441" w:rsidRPr="00E71D37">
        <w:rPr>
          <w:lang w:val="en-US"/>
        </w:rPr>
        <w:t xml:space="preserve"> to assess its merit</w:t>
      </w:r>
      <w:r w:rsidR="00216800" w:rsidRPr="00E71D37">
        <w:rPr>
          <w:lang w:val="en-US"/>
        </w:rPr>
        <w:t>. However, the situation in 60GHz is quite different with that in 5GHz, e.g. h</w:t>
      </w:r>
      <w:r w:rsidR="006201E1" w:rsidRPr="00E71D37">
        <w:rPr>
          <w:lang w:val="en-US"/>
        </w:rPr>
        <w:t xml:space="preserve">igh gain beamforming, which </w:t>
      </w:r>
      <w:r w:rsidR="00325AB5" w:rsidRPr="00E71D37">
        <w:rPr>
          <w:lang w:val="en-US"/>
        </w:rPr>
        <w:t xml:space="preserve">can </w:t>
      </w:r>
      <w:r w:rsidR="006201E1" w:rsidRPr="00E71D37">
        <w:rPr>
          <w:lang w:val="en-US"/>
        </w:rPr>
        <w:t>invalidate the benefit from LBT.</w:t>
      </w:r>
    </w:p>
    <w:p w14:paraId="132BCDE8" w14:textId="67B5D58D" w:rsidR="007C369B" w:rsidRPr="00E71D37" w:rsidRDefault="007C369B" w:rsidP="00D31324">
      <w:pPr>
        <w:pStyle w:val="BodyText"/>
        <w:rPr>
          <w:lang w:val="en-US"/>
        </w:rPr>
      </w:pPr>
      <w:r w:rsidRPr="00E71D37">
        <w:rPr>
          <w:lang w:val="en-US"/>
        </w:rPr>
        <w:t xml:space="preserve">Based on the </w:t>
      </w:r>
      <w:r w:rsidR="00251535" w:rsidRPr="00E71D37">
        <w:rPr>
          <w:lang w:val="en-US"/>
        </w:rPr>
        <w:t xml:space="preserve">indoor scenario </w:t>
      </w:r>
      <w:r w:rsidRPr="00E71D37">
        <w:rPr>
          <w:lang w:val="en-US"/>
        </w:rPr>
        <w:t xml:space="preserve">evaluation setup in </w:t>
      </w:r>
      <w:r>
        <w:fldChar w:fldCharType="begin"/>
      </w:r>
      <w:r w:rsidRPr="00E71D37">
        <w:rPr>
          <w:lang w:val="en-US"/>
        </w:rPr>
        <w:instrText xml:space="preserve"> REF _Ref505777945 \r \h </w:instrText>
      </w:r>
      <w:r>
        <w:fldChar w:fldCharType="separate"/>
      </w:r>
      <w:r w:rsidRPr="00E71D37">
        <w:rPr>
          <w:lang w:val="en-US"/>
        </w:rPr>
        <w:t>[4]</w:t>
      </w:r>
      <w:r>
        <w:fldChar w:fldCharType="end"/>
      </w:r>
      <w:r w:rsidRPr="00E71D37">
        <w:rPr>
          <w:lang w:val="en-US"/>
        </w:rPr>
        <w:t xml:space="preserve"> and LBT settings under </w:t>
      </w:r>
      <w:r w:rsidR="00E436AC" w:rsidRPr="00E71D37">
        <w:rPr>
          <w:lang w:val="en-US"/>
        </w:rPr>
        <w:t xml:space="preserve">regulation </w:t>
      </w:r>
      <w:r w:rsidRPr="00E71D37">
        <w:rPr>
          <w:lang w:val="en-US"/>
        </w:rPr>
        <w:t xml:space="preserve">rules in </w:t>
      </w:r>
      <w:r>
        <w:fldChar w:fldCharType="begin"/>
      </w:r>
      <w:r w:rsidRPr="00E71D37">
        <w:rPr>
          <w:lang w:val="en-US"/>
        </w:rPr>
        <w:instrText xml:space="preserve"> REF _Ref462951715 \r \h </w:instrText>
      </w:r>
      <w:r>
        <w:fldChar w:fldCharType="separate"/>
      </w:r>
      <w:r w:rsidRPr="00E71D37">
        <w:rPr>
          <w:lang w:val="en-US"/>
        </w:rPr>
        <w:t>[2]</w:t>
      </w:r>
      <w:r>
        <w:fldChar w:fldCharType="end"/>
      </w:r>
      <w:r w:rsidRPr="00E71D37">
        <w:rPr>
          <w:lang w:val="en-US"/>
        </w:rPr>
        <w:t xml:space="preserve"> (i.e. ED threshold = -47dBm), the following results on mean and 5</w:t>
      </w:r>
      <w:r w:rsidRPr="00E71D37">
        <w:rPr>
          <w:vertAlign w:val="superscript"/>
          <w:lang w:val="en-US"/>
        </w:rPr>
        <w:t>th</w:t>
      </w:r>
      <w:r w:rsidRPr="00E71D37">
        <w:rPr>
          <w:lang w:val="en-US"/>
        </w:rPr>
        <w:t xml:space="preserve"> object user rate are shown in </w:t>
      </w:r>
      <w:r w:rsidR="00E436AC">
        <w:fldChar w:fldCharType="begin"/>
      </w:r>
      <w:r w:rsidR="00E436AC" w:rsidRPr="00E71D37">
        <w:rPr>
          <w:lang w:val="en-US"/>
        </w:rPr>
        <w:instrText xml:space="preserve"> REF _Ref505778344 \h </w:instrText>
      </w:r>
      <w:r w:rsidR="00E436AC">
        <w:fldChar w:fldCharType="separate"/>
      </w:r>
      <w:r w:rsidR="00E436AC" w:rsidRPr="00E71D37">
        <w:rPr>
          <w:lang w:val="en-US"/>
        </w:rPr>
        <w:t xml:space="preserve">Figure </w:t>
      </w:r>
      <w:r w:rsidR="00E436AC" w:rsidRPr="00E71D37">
        <w:rPr>
          <w:noProof/>
          <w:lang w:val="en-US"/>
        </w:rPr>
        <w:t>1</w:t>
      </w:r>
      <w:r w:rsidR="00E436AC">
        <w:fldChar w:fldCharType="end"/>
      </w:r>
      <w:r w:rsidR="00E436AC" w:rsidRPr="00E71D37">
        <w:rPr>
          <w:lang w:val="en-US"/>
        </w:rPr>
        <w:t>. It is clearly seen that LBT doesn’t bring any benefit for spectrum sharing between two operators in terms of both mean and 5</w:t>
      </w:r>
      <w:r w:rsidR="00E436AC" w:rsidRPr="00E71D37">
        <w:rPr>
          <w:vertAlign w:val="superscript"/>
          <w:lang w:val="en-US"/>
        </w:rPr>
        <w:t>th</w:t>
      </w:r>
      <w:r w:rsidR="00E436AC" w:rsidRPr="00E71D37">
        <w:rPr>
          <w:lang w:val="en-US"/>
        </w:rPr>
        <w:t xml:space="preserve"> user data rate. </w:t>
      </w:r>
      <w:r w:rsidR="00BA6A76" w:rsidRPr="00E71D37">
        <w:rPr>
          <w:lang w:val="en-US"/>
        </w:rPr>
        <w:t>Furthermore, t</w:t>
      </w:r>
      <w:r w:rsidR="00E436AC" w:rsidRPr="00E71D37">
        <w:rPr>
          <w:lang w:val="en-US"/>
        </w:rPr>
        <w:t xml:space="preserve">he performance </w:t>
      </w:r>
      <w:r w:rsidR="00BA6A76" w:rsidRPr="00E71D37">
        <w:rPr>
          <w:lang w:val="en-US"/>
        </w:rPr>
        <w:t xml:space="preserve">with LBT </w:t>
      </w:r>
      <w:r w:rsidR="00E436AC" w:rsidRPr="00E71D37">
        <w:rPr>
          <w:lang w:val="en-US"/>
        </w:rPr>
        <w:t xml:space="preserve">becomes </w:t>
      </w:r>
      <w:r w:rsidR="00BA6A76" w:rsidRPr="00E71D37">
        <w:rPr>
          <w:lang w:val="en-US"/>
        </w:rPr>
        <w:t xml:space="preserve">even </w:t>
      </w:r>
      <w:r w:rsidR="00E436AC" w:rsidRPr="00E71D37">
        <w:rPr>
          <w:lang w:val="en-US"/>
        </w:rPr>
        <w:t>a little worse than no LBT</w:t>
      </w:r>
      <w:r w:rsidR="00BA6A76" w:rsidRPr="00E71D37">
        <w:rPr>
          <w:lang w:val="en-US"/>
        </w:rPr>
        <w:t xml:space="preserve"> case, which means making LBT mandatory in this case is not good.</w:t>
      </w:r>
    </w:p>
    <w:p w14:paraId="28845BB3" w14:textId="4AFAAF3F" w:rsidR="007C369B" w:rsidRPr="00CF6B0C" w:rsidRDefault="00216800" w:rsidP="00D31324">
      <w:pPr>
        <w:pStyle w:val="BodyText"/>
        <w:rPr>
          <w:lang w:val="en-US"/>
        </w:rPr>
      </w:pPr>
      <w:r w:rsidRPr="00E71D37">
        <w:rPr>
          <w:lang w:val="en-US"/>
        </w:rPr>
        <w:t xml:space="preserve"> </w:t>
      </w:r>
      <w:r w:rsidR="00521760" w:rsidRPr="00521760">
        <w:rPr>
          <w:noProof/>
        </w:rPr>
        <w:drawing>
          <wp:inline distT="0" distB="0" distL="0" distR="0" wp14:anchorId="23EC2332" wp14:editId="25966966">
            <wp:extent cx="2993390" cy="209146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8737" cy="2116164"/>
                    </a:xfrm>
                    <a:prstGeom prst="rect">
                      <a:avLst/>
                    </a:prstGeom>
                    <a:noFill/>
                    <a:ln>
                      <a:noFill/>
                    </a:ln>
                  </pic:spPr>
                </pic:pic>
              </a:graphicData>
            </a:graphic>
          </wp:inline>
        </w:drawing>
      </w:r>
      <w:r w:rsidR="00521760" w:rsidRPr="00CF6B0C">
        <w:rPr>
          <w:lang w:val="en-US"/>
        </w:rPr>
        <w:t xml:space="preserve"> </w:t>
      </w:r>
      <w:r w:rsidR="00521760" w:rsidRPr="00521760">
        <w:rPr>
          <w:noProof/>
        </w:rPr>
        <w:drawing>
          <wp:inline distT="0" distB="0" distL="0" distR="0" wp14:anchorId="3730421B" wp14:editId="43CD0C02">
            <wp:extent cx="2989164" cy="20885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9164" cy="2088515"/>
                    </a:xfrm>
                    <a:prstGeom prst="rect">
                      <a:avLst/>
                    </a:prstGeom>
                    <a:noFill/>
                    <a:ln>
                      <a:noFill/>
                    </a:ln>
                  </pic:spPr>
                </pic:pic>
              </a:graphicData>
            </a:graphic>
          </wp:inline>
        </w:drawing>
      </w:r>
    </w:p>
    <w:p w14:paraId="6EFE2C9A" w14:textId="0B999BC8" w:rsidR="00B74ACB" w:rsidRPr="00E71D37" w:rsidRDefault="007C369B" w:rsidP="007C369B">
      <w:pPr>
        <w:pStyle w:val="Caption"/>
        <w:rPr>
          <w:lang w:val="en-US"/>
        </w:rPr>
      </w:pPr>
      <w:bookmarkStart w:id="2" w:name="_Ref505778344"/>
      <w:r w:rsidRPr="00E71D37">
        <w:rPr>
          <w:lang w:val="en-US"/>
        </w:rPr>
        <w:t xml:space="preserve">Figure </w:t>
      </w:r>
      <w:r>
        <w:fldChar w:fldCharType="begin"/>
      </w:r>
      <w:r w:rsidRPr="00E71D37">
        <w:rPr>
          <w:lang w:val="en-US"/>
        </w:rPr>
        <w:instrText xml:space="preserve"> SEQ Figure \* ARABIC </w:instrText>
      </w:r>
      <w:r>
        <w:fldChar w:fldCharType="separate"/>
      </w:r>
      <w:r w:rsidRPr="00E71D37">
        <w:rPr>
          <w:noProof/>
          <w:lang w:val="en-US"/>
        </w:rPr>
        <w:t>1</w:t>
      </w:r>
      <w:r>
        <w:fldChar w:fldCharType="end"/>
      </w:r>
      <w:bookmarkEnd w:id="2"/>
      <w:r w:rsidRPr="00E71D37">
        <w:rPr>
          <w:lang w:val="en-US"/>
        </w:rPr>
        <w:tab/>
      </w:r>
      <w:r w:rsidR="00E436AC" w:rsidRPr="00E71D37">
        <w:rPr>
          <w:lang w:val="en-US"/>
        </w:rPr>
        <w:t>Mean object user rate (left) and 5</w:t>
      </w:r>
      <w:r w:rsidR="00E436AC" w:rsidRPr="00E71D37">
        <w:rPr>
          <w:vertAlign w:val="superscript"/>
          <w:lang w:val="en-US"/>
        </w:rPr>
        <w:t>th</w:t>
      </w:r>
      <w:r w:rsidR="00E436AC" w:rsidRPr="00E71D37">
        <w:rPr>
          <w:lang w:val="en-US"/>
        </w:rPr>
        <w:t xml:space="preserve"> object user rate (right) </w:t>
      </w:r>
      <w:r w:rsidR="007F7B9C" w:rsidRPr="00E71D37">
        <w:rPr>
          <w:lang w:val="en-US"/>
        </w:rPr>
        <w:t xml:space="preserve"> </w:t>
      </w:r>
    </w:p>
    <w:p w14:paraId="14750890" w14:textId="78E4A188" w:rsidR="00216800" w:rsidRPr="00E71D37" w:rsidRDefault="00BA6A76" w:rsidP="003F0C56">
      <w:pPr>
        <w:pStyle w:val="Observation"/>
        <w:rPr>
          <w:lang w:val="en-US"/>
        </w:rPr>
      </w:pPr>
      <w:bookmarkStart w:id="3" w:name="_Toc472092067"/>
      <w:bookmarkStart w:id="4" w:name="_Toc477793227"/>
      <w:bookmarkStart w:id="5" w:name="_Toc477794298"/>
      <w:bookmarkStart w:id="6" w:name="_Toc477794306"/>
      <w:bookmarkStart w:id="7" w:name="_Toc477794314"/>
      <w:bookmarkEnd w:id="3"/>
      <w:bookmarkEnd w:id="4"/>
      <w:bookmarkEnd w:id="5"/>
      <w:bookmarkEnd w:id="6"/>
      <w:bookmarkEnd w:id="7"/>
      <w:r w:rsidRPr="00E71D37">
        <w:rPr>
          <w:lang w:val="en-US"/>
        </w:rPr>
        <w:t>Regulation</w:t>
      </w:r>
      <w:r w:rsidR="002708DC" w:rsidRPr="00E71D37">
        <w:rPr>
          <w:lang w:val="en-US"/>
        </w:rPr>
        <w:t xml:space="preserve"> rule</w:t>
      </w:r>
      <w:r w:rsidRPr="00E71D37">
        <w:rPr>
          <w:lang w:val="en-US"/>
        </w:rPr>
        <w:t>s on 60GHz</w:t>
      </w:r>
      <w:r w:rsidR="008B74AB" w:rsidRPr="00E71D37">
        <w:rPr>
          <w:lang w:val="en-US"/>
        </w:rPr>
        <w:t>,</w:t>
      </w:r>
      <w:r w:rsidRPr="00E71D37">
        <w:rPr>
          <w:lang w:val="en-US"/>
        </w:rPr>
        <w:t xml:space="preserve"> </w:t>
      </w:r>
      <w:r w:rsidR="003E134D" w:rsidRPr="00E71D37">
        <w:rPr>
          <w:lang w:val="en-US"/>
        </w:rPr>
        <w:t>especially channel access rule</w:t>
      </w:r>
      <w:r w:rsidR="008B74AB" w:rsidRPr="00E71D37">
        <w:rPr>
          <w:lang w:val="en-US"/>
        </w:rPr>
        <w:t>,</w:t>
      </w:r>
      <w:r w:rsidR="003E134D" w:rsidRPr="00E71D37">
        <w:rPr>
          <w:lang w:val="en-US"/>
        </w:rPr>
        <w:t xml:space="preserve"> </w:t>
      </w:r>
      <w:r w:rsidRPr="00E71D37">
        <w:rPr>
          <w:lang w:val="en-US"/>
        </w:rPr>
        <w:t>is not mature enough to achieve good spectrum sharing</w:t>
      </w:r>
      <w:r w:rsidR="009C2C79" w:rsidRPr="00E71D37">
        <w:rPr>
          <w:lang w:val="en-US"/>
        </w:rPr>
        <w:t xml:space="preserve"> currently.</w:t>
      </w:r>
    </w:p>
    <w:p w14:paraId="44D83D7D" w14:textId="316B2970" w:rsidR="00404A55" w:rsidRPr="00E71D37" w:rsidRDefault="00251535" w:rsidP="00CE3B61">
      <w:pPr>
        <w:pStyle w:val="Proposal"/>
        <w:rPr>
          <w:lang w:val="en-US"/>
        </w:rPr>
      </w:pPr>
      <w:bookmarkStart w:id="8" w:name="_Toc505785504"/>
      <w:bookmarkStart w:id="9" w:name="_Toc506283635"/>
      <w:r w:rsidRPr="00E71D37">
        <w:rPr>
          <w:lang w:val="en-US"/>
        </w:rPr>
        <w:lastRenderedPageBreak/>
        <w:t>Further work is needed to establish efficient coexistence in the 60GHz band. However, any optimizations for operation in this band should be considered after the channel access scheme for lower frequency bands (sub-7 GHz) is complete</w:t>
      </w:r>
      <w:r w:rsidR="00404A55" w:rsidRPr="00E71D37">
        <w:rPr>
          <w:lang w:val="en-US"/>
        </w:rPr>
        <w:t>.</w:t>
      </w:r>
      <w:bookmarkEnd w:id="8"/>
      <w:bookmarkEnd w:id="9"/>
    </w:p>
    <w:p w14:paraId="0DCE07BA" w14:textId="77777777" w:rsidR="003E134D" w:rsidRPr="00E71D37" w:rsidRDefault="003E134D" w:rsidP="003E134D">
      <w:pPr>
        <w:pStyle w:val="Observation"/>
        <w:numPr>
          <w:ilvl w:val="0"/>
          <w:numId w:val="0"/>
        </w:numPr>
        <w:rPr>
          <w:lang w:val="en-US"/>
        </w:rPr>
      </w:pPr>
    </w:p>
    <w:p w14:paraId="677090E6" w14:textId="58046814" w:rsidR="00A603BA" w:rsidRDefault="009C2C79" w:rsidP="009C2C79">
      <w:pPr>
        <w:pStyle w:val="Heading2"/>
      </w:pPr>
      <w:r>
        <w:t xml:space="preserve">60GHz </w:t>
      </w:r>
      <w:r w:rsidR="00A603BA">
        <w:t>channel access</w:t>
      </w:r>
    </w:p>
    <w:p w14:paraId="3C19AF44" w14:textId="77217D55" w:rsidR="00A603BA" w:rsidRPr="00E71D37" w:rsidRDefault="00A603BA" w:rsidP="00A603BA">
      <w:pPr>
        <w:rPr>
          <w:lang w:val="en-US"/>
        </w:rPr>
      </w:pPr>
      <w:r w:rsidRPr="00E71D37">
        <w:rPr>
          <w:lang w:val="en-US"/>
        </w:rPr>
        <w:t xml:space="preserve">For 60GHz unlicensed band shared by multiple operators or technologies, a good channel access mechanism is needed to </w:t>
      </w:r>
      <w:r w:rsidR="00F523AE" w:rsidRPr="00E71D37">
        <w:rPr>
          <w:lang w:val="en-US"/>
        </w:rPr>
        <w:t>ensure good coexistence</w:t>
      </w:r>
      <w:r w:rsidRPr="00E71D37">
        <w:rPr>
          <w:lang w:val="en-US"/>
        </w:rPr>
        <w:t xml:space="preserve">. However, </w:t>
      </w:r>
      <w:r w:rsidR="002708DC" w:rsidRPr="00E71D37">
        <w:rPr>
          <w:lang w:val="en-US"/>
        </w:rPr>
        <w:t>current LBT scheme by regulations doesn’t solve the coexistence problem in high gain beamforming case as shown in</w:t>
      </w:r>
      <w:r w:rsidR="00F60334" w:rsidRPr="00E71D37">
        <w:rPr>
          <w:lang w:val="en-US"/>
        </w:rPr>
        <w:t xml:space="preserve"> Section</w:t>
      </w:r>
      <w:r w:rsidR="002708DC" w:rsidRPr="00E71D37">
        <w:rPr>
          <w:lang w:val="en-US"/>
        </w:rPr>
        <w:t xml:space="preserve"> 2.1. One straightforward solution may be directional LBT, i.e. the source node listens to the channel with directional antennas instead of omni antenna. Next, we will </w:t>
      </w:r>
      <w:r w:rsidR="00897731" w:rsidRPr="00E71D37">
        <w:rPr>
          <w:lang w:val="en-US"/>
        </w:rPr>
        <w:t xml:space="preserve">present </w:t>
      </w:r>
      <w:r w:rsidR="002708DC" w:rsidRPr="00E71D37">
        <w:rPr>
          <w:lang w:val="en-US"/>
        </w:rPr>
        <w:t>a simple analysis of directional LBT.</w:t>
      </w:r>
      <w:r w:rsidR="00F60334" w:rsidRPr="00E71D37">
        <w:rPr>
          <w:lang w:val="en-US"/>
        </w:rPr>
        <w:t xml:space="preserve"> However, as we argue below, the hidden/exposed node problem may be accentuated by directional LBT</w:t>
      </w:r>
      <w:r w:rsidR="0019227F" w:rsidRPr="00E71D37">
        <w:rPr>
          <w:lang w:val="en-US"/>
        </w:rPr>
        <w:t xml:space="preserve"> compared to omni-LBT</w:t>
      </w:r>
      <w:r w:rsidR="00F60334" w:rsidRPr="00E71D37">
        <w:rPr>
          <w:lang w:val="en-US"/>
        </w:rPr>
        <w:t>.</w:t>
      </w:r>
    </w:p>
    <w:p w14:paraId="455511EE" w14:textId="23767D67" w:rsidR="0019227F" w:rsidRPr="00E71D37" w:rsidRDefault="002708DC" w:rsidP="00A603BA">
      <w:pPr>
        <w:rPr>
          <w:lang w:val="en-US"/>
        </w:rPr>
      </w:pPr>
      <w:r w:rsidRPr="00E71D37">
        <w:rPr>
          <w:rFonts w:hint="eastAsia"/>
          <w:lang w:val="en-US"/>
        </w:rPr>
        <w:t xml:space="preserve">The key idea of </w:t>
      </w:r>
      <w:r w:rsidR="0019227F" w:rsidRPr="00E71D37">
        <w:rPr>
          <w:lang w:val="en-US"/>
        </w:rPr>
        <w:t xml:space="preserve">any form </w:t>
      </w:r>
      <w:r w:rsidR="00EF55EB" w:rsidRPr="00E71D37">
        <w:rPr>
          <w:lang w:val="en-US"/>
        </w:rPr>
        <w:t xml:space="preserve">of </w:t>
      </w:r>
      <w:r w:rsidRPr="00E71D37">
        <w:rPr>
          <w:rFonts w:hint="eastAsia"/>
          <w:lang w:val="en-US"/>
        </w:rPr>
        <w:t>LBT is that</w:t>
      </w:r>
      <w:r w:rsidRPr="00E71D37">
        <w:rPr>
          <w:lang w:val="en-US"/>
        </w:rPr>
        <w:t xml:space="preserve"> the</w:t>
      </w:r>
      <w:r w:rsidRPr="00E71D37">
        <w:rPr>
          <w:rFonts w:hint="eastAsia"/>
          <w:lang w:val="en-US"/>
        </w:rPr>
        <w:t xml:space="preserve"> source node (SN) listens to check the channel status before it</w:t>
      </w:r>
      <w:r w:rsidRPr="00E71D37">
        <w:rPr>
          <w:lang w:val="en-US"/>
        </w:rPr>
        <w:t xml:space="preserve"> </w:t>
      </w:r>
      <w:proofErr w:type="gramStart"/>
      <w:r w:rsidRPr="00E71D37">
        <w:rPr>
          <w:lang w:val="en-US"/>
        </w:rPr>
        <w:t>actually</w:t>
      </w:r>
      <w:r w:rsidRPr="00E71D37">
        <w:rPr>
          <w:rFonts w:hint="eastAsia"/>
          <w:lang w:val="en-US"/>
        </w:rPr>
        <w:t xml:space="preserve"> </w:t>
      </w:r>
      <w:r w:rsidRPr="00E71D37">
        <w:rPr>
          <w:lang w:val="en-US"/>
        </w:rPr>
        <w:t>transmits</w:t>
      </w:r>
      <w:proofErr w:type="gramEnd"/>
      <w:r w:rsidRPr="00E71D37">
        <w:rPr>
          <w:rFonts w:hint="eastAsia"/>
          <w:lang w:val="en-US"/>
        </w:rPr>
        <w:t xml:space="preserve"> to </w:t>
      </w:r>
      <w:r w:rsidR="00897731" w:rsidRPr="00E71D37">
        <w:rPr>
          <w:lang w:val="en-US"/>
        </w:rPr>
        <w:t xml:space="preserve">the </w:t>
      </w:r>
      <w:r w:rsidRPr="00E71D37">
        <w:rPr>
          <w:rFonts w:hint="eastAsia"/>
          <w:lang w:val="en-US"/>
        </w:rPr>
        <w:t>destination node (DN)</w:t>
      </w:r>
      <w:r w:rsidRPr="00E71D37">
        <w:rPr>
          <w:lang w:val="en-US"/>
        </w:rPr>
        <w:t>.</w:t>
      </w:r>
      <w:r w:rsidRPr="00E71D37">
        <w:rPr>
          <w:rFonts w:hint="eastAsia"/>
          <w:lang w:val="en-US"/>
        </w:rPr>
        <w:t xml:space="preserve"> In other word</w:t>
      </w:r>
      <w:r w:rsidR="00897731" w:rsidRPr="00E71D37">
        <w:rPr>
          <w:lang w:val="en-US"/>
        </w:rPr>
        <w:t>s</w:t>
      </w:r>
      <w:r w:rsidRPr="00E71D37">
        <w:rPr>
          <w:rFonts w:hint="eastAsia"/>
          <w:lang w:val="en-US"/>
        </w:rPr>
        <w:t xml:space="preserve">, </w:t>
      </w:r>
      <w:r w:rsidRPr="00E71D37">
        <w:rPr>
          <w:lang w:val="en-US"/>
        </w:rPr>
        <w:t xml:space="preserve">the default mode </w:t>
      </w:r>
      <w:r w:rsidRPr="00E71D37">
        <w:rPr>
          <w:rFonts w:hint="eastAsia"/>
          <w:lang w:val="en-US"/>
        </w:rPr>
        <w:t xml:space="preserve">of LBT </w:t>
      </w:r>
      <w:r w:rsidRPr="00E71D37">
        <w:rPr>
          <w:lang w:val="en-US"/>
        </w:rPr>
        <w:t xml:space="preserve">for </w:t>
      </w:r>
      <w:r w:rsidR="00864D5B" w:rsidRPr="00E71D37">
        <w:rPr>
          <w:lang w:val="en-US"/>
        </w:rPr>
        <w:t xml:space="preserve">the </w:t>
      </w:r>
      <w:r w:rsidRPr="00E71D37">
        <w:rPr>
          <w:rFonts w:hint="eastAsia"/>
          <w:lang w:val="en-US"/>
        </w:rPr>
        <w:t>SN</w:t>
      </w:r>
      <w:r w:rsidRPr="00E71D37">
        <w:rPr>
          <w:lang w:val="en-US"/>
        </w:rPr>
        <w:t xml:space="preserve"> is ‘not to send</w:t>
      </w:r>
      <w:r w:rsidR="003F0C56" w:rsidRPr="00E71D37">
        <w:rPr>
          <w:lang w:val="en-US"/>
        </w:rPr>
        <w:t>,</w:t>
      </w:r>
      <w:r w:rsidRPr="00E71D37">
        <w:rPr>
          <w:lang w:val="en-US"/>
        </w:rPr>
        <w:t xml:space="preserve">’ and data is sent only when it is confirmed that the channel is </w:t>
      </w:r>
      <w:r w:rsidRPr="00E71D37">
        <w:rPr>
          <w:rFonts w:hint="eastAsia"/>
          <w:lang w:val="en-US"/>
        </w:rPr>
        <w:t>available</w:t>
      </w:r>
      <w:r w:rsidRPr="00E71D37">
        <w:rPr>
          <w:lang w:val="en-US"/>
        </w:rPr>
        <w:t xml:space="preserve"> by listening.</w:t>
      </w:r>
      <w:r w:rsidRPr="00E71D37">
        <w:rPr>
          <w:color w:val="1F497D"/>
          <w:lang w:val="en-US"/>
        </w:rPr>
        <w:t xml:space="preserve"> </w:t>
      </w:r>
      <w:r w:rsidRPr="00E71D37">
        <w:rPr>
          <w:rFonts w:hint="eastAsia"/>
          <w:lang w:val="en-US"/>
        </w:rPr>
        <w:t xml:space="preserve">Here </w:t>
      </w:r>
      <w:r w:rsidRPr="00E71D37">
        <w:rPr>
          <w:lang w:val="en-US"/>
        </w:rPr>
        <w:t>‘</w:t>
      </w:r>
      <w:r w:rsidRPr="00E71D37">
        <w:rPr>
          <w:rFonts w:hint="eastAsia"/>
          <w:lang w:val="en-US"/>
        </w:rPr>
        <w:t>available</w:t>
      </w:r>
      <w:r w:rsidRPr="00E71D37">
        <w:rPr>
          <w:lang w:val="en-US"/>
        </w:rPr>
        <w:t>’</w:t>
      </w:r>
      <w:r w:rsidRPr="00E71D37">
        <w:rPr>
          <w:rFonts w:hint="eastAsia"/>
          <w:lang w:val="en-US"/>
        </w:rPr>
        <w:t xml:space="preserve"> means that the </w:t>
      </w:r>
      <w:r w:rsidRPr="00E71D37">
        <w:rPr>
          <w:lang w:val="en-US"/>
        </w:rPr>
        <w:t>planned</w:t>
      </w:r>
      <w:r w:rsidRPr="00E71D37">
        <w:rPr>
          <w:rFonts w:hint="eastAsia"/>
          <w:lang w:val="en-US"/>
        </w:rPr>
        <w:t xml:space="preserve"> transmission will </w:t>
      </w:r>
      <w:r w:rsidRPr="00E71D37">
        <w:rPr>
          <w:lang w:val="en-US"/>
        </w:rPr>
        <w:t>neither</w:t>
      </w:r>
      <w:r w:rsidRPr="00E71D37">
        <w:rPr>
          <w:rFonts w:hint="eastAsia"/>
          <w:lang w:val="en-US"/>
        </w:rPr>
        <w:t xml:space="preserve"> </w:t>
      </w:r>
      <w:r w:rsidR="003F0C56" w:rsidRPr="00E71D37">
        <w:rPr>
          <w:lang w:val="en-US"/>
        </w:rPr>
        <w:t xml:space="preserve">create </w:t>
      </w:r>
      <w:r w:rsidRPr="00E71D37">
        <w:rPr>
          <w:lang w:val="en-US"/>
        </w:rPr>
        <w:t>interfer</w:t>
      </w:r>
      <w:r w:rsidR="003F0C56" w:rsidRPr="00E71D37">
        <w:rPr>
          <w:lang w:val="en-US"/>
        </w:rPr>
        <w:t>ence to</w:t>
      </w:r>
      <w:r w:rsidR="00EF55EB" w:rsidRPr="00E71D37">
        <w:rPr>
          <w:lang w:val="en-US"/>
        </w:rPr>
        <w:t>,</w:t>
      </w:r>
      <w:r w:rsidRPr="00E71D37">
        <w:rPr>
          <w:rFonts w:hint="eastAsia"/>
          <w:lang w:val="en-US"/>
        </w:rPr>
        <w:t xml:space="preserve"> nor be </w:t>
      </w:r>
      <w:r w:rsidR="003F0C56" w:rsidRPr="00E71D37">
        <w:rPr>
          <w:lang w:val="en-US"/>
        </w:rPr>
        <w:t>harmed by</w:t>
      </w:r>
      <w:r w:rsidR="00EF55EB" w:rsidRPr="00E71D37">
        <w:rPr>
          <w:lang w:val="en-US"/>
        </w:rPr>
        <w:t>,</w:t>
      </w:r>
      <w:r w:rsidR="003F0C56" w:rsidRPr="00E71D37">
        <w:rPr>
          <w:lang w:val="en-US"/>
        </w:rPr>
        <w:t xml:space="preserve"> </w:t>
      </w:r>
      <w:r w:rsidRPr="00E71D37">
        <w:rPr>
          <w:rFonts w:hint="eastAsia"/>
          <w:lang w:val="en-US"/>
        </w:rPr>
        <w:t>interfer</w:t>
      </w:r>
      <w:r w:rsidR="003F0C56" w:rsidRPr="00E71D37">
        <w:rPr>
          <w:lang w:val="en-US"/>
        </w:rPr>
        <w:t>ence</w:t>
      </w:r>
      <w:r w:rsidRPr="00E71D37">
        <w:rPr>
          <w:rFonts w:hint="eastAsia"/>
          <w:lang w:val="en-US"/>
        </w:rPr>
        <w:t xml:space="preserve"> </w:t>
      </w:r>
      <w:r w:rsidR="003F0C56" w:rsidRPr="00E71D37">
        <w:rPr>
          <w:lang w:val="en-US"/>
        </w:rPr>
        <w:t>from</w:t>
      </w:r>
      <w:r w:rsidRPr="00E71D37">
        <w:rPr>
          <w:rFonts w:hint="eastAsia"/>
          <w:lang w:val="en-US"/>
        </w:rPr>
        <w:t xml:space="preserve"> current</w:t>
      </w:r>
      <w:r w:rsidR="00897731" w:rsidRPr="00E71D37">
        <w:rPr>
          <w:lang w:val="en-US"/>
        </w:rPr>
        <w:t>ly</w:t>
      </w:r>
      <w:r w:rsidRPr="00E71D37">
        <w:rPr>
          <w:rFonts w:hint="eastAsia"/>
          <w:lang w:val="en-US"/>
        </w:rPr>
        <w:t xml:space="preserve"> ongoing transmission</w:t>
      </w:r>
      <w:r w:rsidR="003F0C56" w:rsidRPr="00E71D37">
        <w:rPr>
          <w:lang w:val="en-US"/>
        </w:rPr>
        <w:t>s</w:t>
      </w:r>
      <w:r w:rsidRPr="00E71D37">
        <w:rPr>
          <w:rFonts w:hint="eastAsia"/>
          <w:lang w:val="en-US"/>
        </w:rPr>
        <w:t xml:space="preserve">. </w:t>
      </w:r>
      <w:r w:rsidRPr="00E71D37">
        <w:rPr>
          <w:lang w:val="en-US"/>
        </w:rPr>
        <w:t>So,</w:t>
      </w:r>
      <w:r w:rsidRPr="00E71D37">
        <w:rPr>
          <w:rFonts w:hint="eastAsia"/>
          <w:lang w:val="en-US"/>
        </w:rPr>
        <w:t xml:space="preserve"> the assumption behind this is that</w:t>
      </w:r>
      <w:r w:rsidRPr="00E71D37">
        <w:rPr>
          <w:lang w:val="en-US"/>
        </w:rPr>
        <w:t xml:space="preserve"> the</w:t>
      </w:r>
      <w:r w:rsidRPr="00E71D37">
        <w:rPr>
          <w:rFonts w:hint="eastAsia"/>
          <w:lang w:val="en-US"/>
        </w:rPr>
        <w:t xml:space="preserve"> sensed power at </w:t>
      </w:r>
      <w:r w:rsidR="00864D5B" w:rsidRPr="00E71D37">
        <w:rPr>
          <w:lang w:val="en-US"/>
        </w:rPr>
        <w:t xml:space="preserve">the </w:t>
      </w:r>
      <w:r w:rsidRPr="00E71D37">
        <w:rPr>
          <w:rFonts w:hint="eastAsia"/>
          <w:lang w:val="en-US"/>
        </w:rPr>
        <w:t xml:space="preserve">SN side represents the interference power at DN side. However, </w:t>
      </w:r>
      <w:r w:rsidRPr="00E71D37">
        <w:rPr>
          <w:lang w:val="en-US"/>
        </w:rPr>
        <w:t>w</w:t>
      </w:r>
      <w:r w:rsidRPr="00E71D37">
        <w:rPr>
          <w:rFonts w:hint="eastAsia"/>
          <w:lang w:val="en-US"/>
        </w:rPr>
        <w:t>hen</w:t>
      </w:r>
      <w:r w:rsidRPr="00E71D37">
        <w:rPr>
          <w:lang w:val="en-US"/>
        </w:rPr>
        <w:t xml:space="preserve"> the</w:t>
      </w:r>
      <w:r w:rsidRPr="00E71D37">
        <w:rPr>
          <w:rFonts w:hint="eastAsia"/>
          <w:lang w:val="en-US"/>
        </w:rPr>
        <w:t xml:space="preserve"> sensed power at SN side is much smaller than </w:t>
      </w:r>
      <w:r w:rsidR="00897731" w:rsidRPr="00E71D37">
        <w:rPr>
          <w:lang w:val="en-US"/>
        </w:rPr>
        <w:t xml:space="preserve">the </w:t>
      </w:r>
      <w:r w:rsidRPr="00E71D37">
        <w:rPr>
          <w:rFonts w:hint="eastAsia"/>
          <w:lang w:val="en-US"/>
        </w:rPr>
        <w:t>interference power at DN side,</w:t>
      </w:r>
      <w:r w:rsidR="00864D5B" w:rsidRPr="00E71D37">
        <w:rPr>
          <w:lang w:val="en-US"/>
        </w:rPr>
        <w:t xml:space="preserve"> a</w:t>
      </w:r>
      <w:r w:rsidRPr="00E71D37">
        <w:rPr>
          <w:rFonts w:hint="eastAsia"/>
          <w:lang w:val="en-US"/>
        </w:rPr>
        <w:t xml:space="preserve"> </w:t>
      </w:r>
      <w:r w:rsidRPr="00E71D37">
        <w:rPr>
          <w:rFonts w:hint="eastAsia"/>
          <w:i/>
          <w:lang w:val="en-US"/>
        </w:rPr>
        <w:t>hidden node problem</w:t>
      </w:r>
      <w:r w:rsidRPr="00E71D37">
        <w:rPr>
          <w:rFonts w:hint="eastAsia"/>
          <w:lang w:val="en-US"/>
        </w:rPr>
        <w:t xml:space="preserve"> may occur, i.e. </w:t>
      </w:r>
      <w:r w:rsidRPr="00E71D37">
        <w:rPr>
          <w:lang w:val="en-US"/>
        </w:rPr>
        <w:t xml:space="preserve">the </w:t>
      </w:r>
      <w:r w:rsidRPr="00E71D37">
        <w:rPr>
          <w:rFonts w:hint="eastAsia"/>
          <w:lang w:val="en-US"/>
        </w:rPr>
        <w:t xml:space="preserve">channel </w:t>
      </w:r>
      <w:r w:rsidRPr="00E71D37">
        <w:rPr>
          <w:lang w:val="en-US"/>
        </w:rPr>
        <w:t>is considered</w:t>
      </w:r>
      <w:r w:rsidRPr="00E71D37">
        <w:rPr>
          <w:rFonts w:hint="eastAsia"/>
          <w:lang w:val="en-US"/>
        </w:rPr>
        <w:t xml:space="preserve"> available but </w:t>
      </w:r>
      <w:proofErr w:type="gramStart"/>
      <w:r w:rsidRPr="00E71D37">
        <w:rPr>
          <w:rFonts w:hint="eastAsia"/>
          <w:lang w:val="en-US"/>
        </w:rPr>
        <w:t xml:space="preserve">actually </w:t>
      </w:r>
      <w:r w:rsidRPr="00E71D37">
        <w:rPr>
          <w:lang w:val="en-US"/>
        </w:rPr>
        <w:t>occupied</w:t>
      </w:r>
      <w:proofErr w:type="gramEnd"/>
      <w:r w:rsidRPr="00E71D37">
        <w:rPr>
          <w:rFonts w:hint="eastAsia"/>
          <w:lang w:val="en-US"/>
        </w:rPr>
        <w:t xml:space="preserve">. </w:t>
      </w:r>
      <w:r w:rsidRPr="00E71D37">
        <w:rPr>
          <w:lang w:val="en-US"/>
        </w:rPr>
        <w:t>In contrary</w:t>
      </w:r>
      <w:r w:rsidRPr="00E71D37">
        <w:rPr>
          <w:rFonts w:hint="eastAsia"/>
          <w:lang w:val="en-US"/>
        </w:rPr>
        <w:t>,</w:t>
      </w:r>
      <w:r w:rsidR="00864D5B" w:rsidRPr="00E71D37">
        <w:rPr>
          <w:lang w:val="en-US"/>
        </w:rPr>
        <w:t xml:space="preserve"> an</w:t>
      </w:r>
      <w:r w:rsidRPr="00E71D37">
        <w:rPr>
          <w:rFonts w:hint="eastAsia"/>
          <w:lang w:val="en-US"/>
        </w:rPr>
        <w:t xml:space="preserve"> </w:t>
      </w:r>
      <w:r w:rsidRPr="00E71D37">
        <w:rPr>
          <w:rFonts w:hint="eastAsia"/>
          <w:i/>
          <w:lang w:val="en-US"/>
        </w:rPr>
        <w:t>exposed node problem</w:t>
      </w:r>
      <w:r w:rsidRPr="00E71D37">
        <w:rPr>
          <w:rFonts w:hint="eastAsia"/>
          <w:lang w:val="en-US"/>
        </w:rPr>
        <w:t xml:space="preserve"> may occur when </w:t>
      </w:r>
      <w:r w:rsidR="00864D5B" w:rsidRPr="00E71D37">
        <w:rPr>
          <w:lang w:val="en-US"/>
        </w:rPr>
        <w:t xml:space="preserve">the </w:t>
      </w:r>
      <w:r w:rsidRPr="00E71D37">
        <w:rPr>
          <w:rFonts w:hint="eastAsia"/>
          <w:lang w:val="en-US"/>
        </w:rPr>
        <w:t xml:space="preserve">sensed power is much larger than </w:t>
      </w:r>
      <w:r w:rsidR="00864D5B" w:rsidRPr="00E71D37">
        <w:rPr>
          <w:lang w:val="en-US"/>
        </w:rPr>
        <w:t xml:space="preserve">the </w:t>
      </w:r>
      <w:r w:rsidRPr="00E71D37">
        <w:rPr>
          <w:rFonts w:hint="eastAsia"/>
          <w:lang w:val="en-US"/>
        </w:rPr>
        <w:t xml:space="preserve">interference power, i.e. </w:t>
      </w:r>
      <w:r w:rsidR="00864D5B" w:rsidRPr="00E71D37">
        <w:rPr>
          <w:lang w:val="en-US"/>
        </w:rPr>
        <w:t xml:space="preserve">the </w:t>
      </w:r>
      <w:r w:rsidRPr="00E71D37">
        <w:rPr>
          <w:rFonts w:hint="eastAsia"/>
          <w:lang w:val="en-US"/>
        </w:rPr>
        <w:t xml:space="preserve">channel </w:t>
      </w:r>
      <w:r w:rsidRPr="00E71D37">
        <w:rPr>
          <w:lang w:val="en-US"/>
        </w:rPr>
        <w:t xml:space="preserve">is </w:t>
      </w:r>
      <w:r w:rsidRPr="00E71D37">
        <w:rPr>
          <w:rFonts w:hint="eastAsia"/>
          <w:lang w:val="en-US"/>
        </w:rPr>
        <w:t xml:space="preserve">detected </w:t>
      </w:r>
      <w:r w:rsidR="00897731" w:rsidRPr="00E71D37">
        <w:rPr>
          <w:lang w:val="en-US"/>
        </w:rPr>
        <w:t xml:space="preserve">as </w:t>
      </w:r>
      <w:r w:rsidRPr="00E71D37">
        <w:rPr>
          <w:rFonts w:hint="eastAsia"/>
          <w:lang w:val="en-US"/>
        </w:rPr>
        <w:t>busy</w:t>
      </w:r>
      <w:r w:rsidR="00897731" w:rsidRPr="00E71D37">
        <w:rPr>
          <w:lang w:val="en-US"/>
        </w:rPr>
        <w:t>,</w:t>
      </w:r>
      <w:r w:rsidRPr="00E71D37">
        <w:rPr>
          <w:rFonts w:hint="eastAsia"/>
          <w:lang w:val="en-US"/>
        </w:rPr>
        <w:t xml:space="preserve"> but </w:t>
      </w:r>
      <w:r w:rsidR="00864D5B" w:rsidRPr="00E71D37">
        <w:rPr>
          <w:lang w:val="en-US"/>
        </w:rPr>
        <w:t xml:space="preserve">it </w:t>
      </w:r>
      <w:r w:rsidRPr="00E71D37">
        <w:rPr>
          <w:lang w:val="en-US"/>
        </w:rPr>
        <w:t xml:space="preserve">is </w:t>
      </w:r>
      <w:proofErr w:type="gramStart"/>
      <w:r w:rsidRPr="00E71D37">
        <w:rPr>
          <w:rFonts w:hint="eastAsia"/>
          <w:lang w:val="en-US"/>
        </w:rPr>
        <w:t>actually not</w:t>
      </w:r>
      <w:proofErr w:type="gramEnd"/>
      <w:r w:rsidRPr="00E71D37">
        <w:rPr>
          <w:rFonts w:hint="eastAsia"/>
          <w:lang w:val="en-US"/>
        </w:rPr>
        <w:t xml:space="preserve"> </w:t>
      </w:r>
      <w:r w:rsidRPr="00E71D37">
        <w:rPr>
          <w:lang w:val="en-US"/>
        </w:rPr>
        <w:t>occupied</w:t>
      </w:r>
      <w:r w:rsidRPr="00E71D37">
        <w:rPr>
          <w:rFonts w:hint="eastAsia"/>
          <w:lang w:val="en-US"/>
        </w:rPr>
        <w:t>.</w:t>
      </w:r>
    </w:p>
    <w:p w14:paraId="089A1334" w14:textId="0B7B9CC1" w:rsidR="002708DC" w:rsidRPr="00E71D37" w:rsidRDefault="002708DC" w:rsidP="00755321">
      <w:pPr>
        <w:rPr>
          <w:lang w:val="en-US"/>
        </w:rPr>
      </w:pPr>
      <w:r w:rsidRPr="00E71D37">
        <w:rPr>
          <w:lang w:val="en-US"/>
        </w:rPr>
        <w:t xml:space="preserve">Directional LBT </w:t>
      </w:r>
      <w:r w:rsidR="00F60334" w:rsidRPr="00E71D37">
        <w:rPr>
          <w:lang w:val="en-US"/>
        </w:rPr>
        <w:t xml:space="preserve">can </w:t>
      </w:r>
      <w:r w:rsidRPr="00E71D37">
        <w:rPr>
          <w:lang w:val="en-US"/>
        </w:rPr>
        <w:t xml:space="preserve">make the difference between </w:t>
      </w:r>
      <w:r w:rsidR="00864D5B" w:rsidRPr="00E71D37">
        <w:rPr>
          <w:lang w:val="en-US"/>
        </w:rPr>
        <w:t xml:space="preserve">the </w:t>
      </w:r>
      <w:r w:rsidRPr="00E71D37">
        <w:rPr>
          <w:lang w:val="en-US"/>
        </w:rPr>
        <w:t xml:space="preserve">sensed power at SN side and </w:t>
      </w:r>
      <w:r w:rsidR="00897731" w:rsidRPr="00E71D37">
        <w:rPr>
          <w:lang w:val="en-US"/>
        </w:rPr>
        <w:t xml:space="preserve">the </w:t>
      </w:r>
      <w:r w:rsidRPr="00E71D37">
        <w:rPr>
          <w:lang w:val="en-US"/>
        </w:rPr>
        <w:t>actual interference power at DN side much larger</w:t>
      </w:r>
      <w:r w:rsidR="0019227F" w:rsidRPr="00E71D37">
        <w:rPr>
          <w:lang w:val="en-US"/>
        </w:rPr>
        <w:t xml:space="preserve"> compared to omni-LBT</w:t>
      </w:r>
      <w:r w:rsidRPr="00E71D37">
        <w:rPr>
          <w:lang w:val="en-US"/>
        </w:rPr>
        <w:t xml:space="preserve">, which </w:t>
      </w:r>
      <w:r w:rsidR="0019227F" w:rsidRPr="00E71D37">
        <w:rPr>
          <w:lang w:val="en-US"/>
        </w:rPr>
        <w:t xml:space="preserve">can </w:t>
      </w:r>
      <w:r w:rsidRPr="00E71D37">
        <w:rPr>
          <w:lang w:val="en-US"/>
        </w:rPr>
        <w:t>pronounce the hidden- and exposed node problems.</w:t>
      </w:r>
      <w:r w:rsidR="0019227F" w:rsidRPr="00E71D37">
        <w:rPr>
          <w:lang w:val="en-US"/>
        </w:rPr>
        <w:t xml:space="preserve"> </w:t>
      </w:r>
      <w:r w:rsidRPr="00E71D37">
        <w:rPr>
          <w:rFonts w:hint="eastAsia"/>
          <w:lang w:val="en-US"/>
        </w:rPr>
        <w:t>A simple example is illustrated in</w:t>
      </w:r>
      <w:r w:rsidRPr="00E71D37">
        <w:rPr>
          <w:lang w:val="en-US"/>
        </w:rPr>
        <w:t xml:space="preserve"> </w:t>
      </w:r>
      <w:r w:rsidRPr="003E134D">
        <w:fldChar w:fldCharType="begin"/>
      </w:r>
      <w:r w:rsidRPr="00E71D37">
        <w:rPr>
          <w:lang w:val="en-US"/>
        </w:rPr>
        <w:instrText xml:space="preserve"> REF _Ref502224003 \h  \* MERGEFORMAT </w:instrText>
      </w:r>
      <w:r w:rsidRPr="003E134D">
        <w:fldChar w:fldCharType="separate"/>
      </w:r>
      <w:r w:rsidRPr="00E71D37">
        <w:rPr>
          <w:lang w:val="en-US"/>
        </w:rPr>
        <w:t>Figure 2</w:t>
      </w:r>
      <w:r w:rsidRPr="003E134D">
        <w:fldChar w:fldCharType="end"/>
      </w:r>
      <w:r w:rsidRPr="00E71D37">
        <w:rPr>
          <w:rFonts w:hint="eastAsia"/>
          <w:lang w:val="en-US"/>
        </w:rPr>
        <w:t xml:space="preserve">. In left side, AN1 is transmitting data to UE1 and AN2 is listening. Since it is not in TX coverage of AN1, AN2 considers the channel </w:t>
      </w:r>
      <w:r w:rsidR="00897731" w:rsidRPr="00E71D37">
        <w:rPr>
          <w:lang w:val="en-US"/>
        </w:rPr>
        <w:t>a</w:t>
      </w:r>
      <w:r w:rsidRPr="00E71D37">
        <w:rPr>
          <w:rFonts w:hint="eastAsia"/>
          <w:lang w:val="en-US"/>
        </w:rPr>
        <w:t xml:space="preserve">s available and thus starts to transmit data to UE2. </w:t>
      </w:r>
      <w:proofErr w:type="gramStart"/>
      <w:r w:rsidRPr="00E71D37">
        <w:rPr>
          <w:rFonts w:hint="eastAsia"/>
          <w:lang w:val="en-US"/>
        </w:rPr>
        <w:t xml:space="preserve">But </w:t>
      </w:r>
      <w:r w:rsidRPr="00E71D37">
        <w:rPr>
          <w:lang w:val="en-US"/>
        </w:rPr>
        <w:t>actually,</w:t>
      </w:r>
      <w:r w:rsidRPr="00E71D37">
        <w:rPr>
          <w:rFonts w:hint="eastAsia"/>
          <w:lang w:val="en-US"/>
        </w:rPr>
        <w:t xml:space="preserve"> UE1</w:t>
      </w:r>
      <w:proofErr w:type="gramEnd"/>
      <w:r w:rsidRPr="00E71D37">
        <w:rPr>
          <w:rFonts w:hint="eastAsia"/>
          <w:lang w:val="en-US"/>
        </w:rPr>
        <w:t xml:space="preserve"> is interfered by AN2</w:t>
      </w:r>
      <w:r w:rsidRPr="00E71D37">
        <w:rPr>
          <w:lang w:val="en-US"/>
        </w:rPr>
        <w:t>’</w:t>
      </w:r>
      <w:r w:rsidRPr="00E71D37">
        <w:rPr>
          <w:rFonts w:hint="eastAsia"/>
          <w:lang w:val="en-US"/>
        </w:rPr>
        <w:t xml:space="preserve">s transmission due to </w:t>
      </w:r>
      <w:r w:rsidR="00897731" w:rsidRPr="00E71D37">
        <w:rPr>
          <w:lang w:val="en-US"/>
        </w:rPr>
        <w:t>that it</w:t>
      </w:r>
      <w:r w:rsidRPr="00E71D37">
        <w:rPr>
          <w:rFonts w:hint="eastAsia"/>
          <w:lang w:val="en-US"/>
        </w:rPr>
        <w:t xml:space="preserve"> is in AN2</w:t>
      </w:r>
      <w:r w:rsidRPr="00E71D37">
        <w:rPr>
          <w:lang w:val="en-US"/>
        </w:rPr>
        <w:t>’</w:t>
      </w:r>
      <w:r w:rsidRPr="00E71D37">
        <w:rPr>
          <w:rFonts w:hint="eastAsia"/>
          <w:lang w:val="en-US"/>
        </w:rPr>
        <w:t xml:space="preserve">s TX coverage. </w:t>
      </w:r>
      <w:r w:rsidRPr="00E71D37">
        <w:rPr>
          <w:lang w:val="en-US"/>
        </w:rPr>
        <w:t>Obviously,</w:t>
      </w:r>
      <w:r w:rsidRPr="00E71D37">
        <w:rPr>
          <w:rFonts w:hint="eastAsia"/>
          <w:lang w:val="en-US"/>
        </w:rPr>
        <w:t xml:space="preserve"> the key reason behind this is that sensed power at AN2 is much smaller than the interference power at UE1 side due to direction difference. By contrary, </w:t>
      </w:r>
      <w:r w:rsidR="00897731" w:rsidRPr="00E71D37">
        <w:rPr>
          <w:lang w:val="en-US"/>
        </w:rPr>
        <w:t xml:space="preserve">the </w:t>
      </w:r>
      <w:r w:rsidRPr="00E71D37">
        <w:rPr>
          <w:rFonts w:hint="eastAsia"/>
          <w:lang w:val="en-US"/>
        </w:rPr>
        <w:t xml:space="preserve">exposed node problem is illustrated in </w:t>
      </w:r>
      <w:r w:rsidRPr="003E134D">
        <w:fldChar w:fldCharType="begin"/>
      </w:r>
      <w:r w:rsidRPr="00E71D37">
        <w:rPr>
          <w:lang w:val="en-US"/>
        </w:rPr>
        <w:instrText xml:space="preserve"> REF _Ref502224003 \h  \* MERGEFORMAT </w:instrText>
      </w:r>
      <w:r w:rsidRPr="003E134D">
        <w:fldChar w:fldCharType="separate"/>
      </w:r>
      <w:r w:rsidRPr="00E71D37">
        <w:rPr>
          <w:lang w:val="en-US"/>
        </w:rPr>
        <w:t>Figure 2</w:t>
      </w:r>
      <w:r w:rsidRPr="003E134D">
        <w:fldChar w:fldCharType="end"/>
      </w:r>
      <w:r w:rsidRPr="00E71D37">
        <w:rPr>
          <w:rFonts w:hint="eastAsia"/>
          <w:lang w:val="en-US"/>
        </w:rPr>
        <w:t xml:space="preserve">b.  </w:t>
      </w:r>
    </w:p>
    <w:p w14:paraId="19DF5BB4" w14:textId="77777777" w:rsidR="002708DC" w:rsidRPr="006E788C" w:rsidRDefault="002708DC" w:rsidP="002708DC">
      <w:pPr>
        <w:pStyle w:val="BodyText"/>
      </w:pPr>
      <w:r w:rsidRPr="00E71D37">
        <w:rPr>
          <w:rFonts w:hint="eastAsia"/>
          <w:lang w:val="en-US"/>
        </w:rPr>
        <w:t xml:space="preserve"> </w:t>
      </w:r>
      <w:r>
        <w:rPr>
          <w:noProof/>
        </w:rPr>
        <w:drawing>
          <wp:inline distT="0" distB="0" distL="0" distR="0" wp14:anchorId="76D255C9" wp14:editId="7E31F2CE">
            <wp:extent cx="2886075" cy="172778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342" cy="1731537"/>
                    </a:xfrm>
                    <a:prstGeom prst="rect">
                      <a:avLst/>
                    </a:prstGeom>
                    <a:noFill/>
                  </pic:spPr>
                </pic:pic>
              </a:graphicData>
            </a:graphic>
          </wp:inline>
        </w:drawing>
      </w:r>
      <w:r w:rsidRPr="006E788C">
        <w:rPr>
          <w:rFonts w:hint="eastAsia"/>
        </w:rPr>
        <w:t xml:space="preserve"> </w:t>
      </w:r>
      <w:r w:rsidRPr="006E788C">
        <w:t xml:space="preserve">       </w:t>
      </w:r>
      <w:r w:rsidRPr="006E788C">
        <w:rPr>
          <w:rFonts w:hint="eastAsia"/>
        </w:rPr>
        <w:t xml:space="preserve"> </w:t>
      </w:r>
      <w:r w:rsidRPr="006E788C">
        <w:rPr>
          <w:noProof/>
        </w:rPr>
        <w:drawing>
          <wp:inline distT="0" distB="0" distL="0" distR="0" wp14:anchorId="5D3CD387" wp14:editId="018BC447">
            <wp:extent cx="2247900" cy="18133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9621" cy="1822764"/>
                    </a:xfrm>
                    <a:prstGeom prst="rect">
                      <a:avLst/>
                    </a:prstGeom>
                    <a:noFill/>
                  </pic:spPr>
                </pic:pic>
              </a:graphicData>
            </a:graphic>
          </wp:inline>
        </w:drawing>
      </w:r>
    </w:p>
    <w:p w14:paraId="28CDC981" w14:textId="77777777" w:rsidR="002708DC" w:rsidRPr="000D50E6" w:rsidRDefault="002708DC" w:rsidP="002708DC">
      <w:pPr>
        <w:pStyle w:val="BodyText"/>
        <w:keepLines/>
        <w:numPr>
          <w:ilvl w:val="0"/>
          <w:numId w:val="16"/>
        </w:numPr>
        <w:tabs>
          <w:tab w:val="left" w:pos="1247"/>
          <w:tab w:val="left" w:pos="2552"/>
          <w:tab w:val="left" w:pos="3856"/>
          <w:tab w:val="left" w:pos="5216"/>
          <w:tab w:val="left" w:pos="6464"/>
          <w:tab w:val="left" w:pos="7768"/>
          <w:tab w:val="left" w:pos="9072"/>
          <w:tab w:val="left" w:pos="10206"/>
        </w:tabs>
        <w:spacing w:before="240" w:after="0"/>
      </w:pPr>
      <w:proofErr w:type="spellStart"/>
      <w:r w:rsidRPr="00B266EA">
        <w:rPr>
          <w:rFonts w:hint="eastAsia"/>
        </w:rPr>
        <w:t>Hidden</w:t>
      </w:r>
      <w:proofErr w:type="spellEnd"/>
      <w:r w:rsidRPr="00B266EA">
        <w:rPr>
          <w:rFonts w:hint="eastAsia"/>
        </w:rPr>
        <w:t xml:space="preserve"> </w:t>
      </w:r>
      <w:proofErr w:type="spellStart"/>
      <w:r w:rsidRPr="00B266EA">
        <w:rPr>
          <w:rFonts w:hint="eastAsia"/>
        </w:rPr>
        <w:t>node</w:t>
      </w:r>
      <w:proofErr w:type="spellEnd"/>
      <w:r w:rsidRPr="00B266EA">
        <w:rPr>
          <w:rFonts w:hint="eastAsia"/>
        </w:rPr>
        <w:t xml:space="preserve"> problem</w:t>
      </w:r>
      <w:r w:rsidRPr="00B266EA">
        <w:rPr>
          <w:rFonts w:hint="eastAsia"/>
        </w:rPr>
        <w:tab/>
      </w:r>
      <w:r w:rsidRPr="00B266EA">
        <w:rPr>
          <w:rFonts w:hint="eastAsia"/>
        </w:rPr>
        <w:tab/>
      </w:r>
      <w:r w:rsidRPr="00B266EA">
        <w:tab/>
        <w:t xml:space="preserve">b) </w:t>
      </w:r>
      <w:proofErr w:type="spellStart"/>
      <w:r w:rsidRPr="00B266EA">
        <w:t>Exposed</w:t>
      </w:r>
      <w:proofErr w:type="spellEnd"/>
      <w:r w:rsidRPr="00B266EA">
        <w:rPr>
          <w:rFonts w:hint="eastAsia"/>
        </w:rPr>
        <w:t xml:space="preserve"> </w:t>
      </w:r>
      <w:proofErr w:type="spellStart"/>
      <w:r w:rsidRPr="00B266EA">
        <w:rPr>
          <w:rFonts w:hint="eastAsia"/>
        </w:rPr>
        <w:t>node</w:t>
      </w:r>
      <w:proofErr w:type="spellEnd"/>
      <w:r w:rsidRPr="00B266EA">
        <w:rPr>
          <w:rFonts w:hint="eastAsia"/>
        </w:rPr>
        <w:t xml:space="preserve"> problem</w:t>
      </w:r>
      <w:r>
        <w:br/>
      </w:r>
    </w:p>
    <w:p w14:paraId="79B82DC8" w14:textId="77777777" w:rsidR="002708DC" w:rsidRPr="00E71D37" w:rsidRDefault="002708DC" w:rsidP="002708DC">
      <w:pPr>
        <w:pStyle w:val="Caption"/>
        <w:rPr>
          <w:lang w:val="en-US"/>
        </w:rPr>
      </w:pPr>
      <w:r w:rsidRPr="00E71D37">
        <w:rPr>
          <w:lang w:val="en-US"/>
        </w:rPr>
        <w:t xml:space="preserve">Figure </w:t>
      </w:r>
      <w:r w:rsidRPr="000D50E6">
        <w:fldChar w:fldCharType="begin"/>
      </w:r>
      <w:r w:rsidRPr="00E71D37">
        <w:rPr>
          <w:lang w:val="en-US"/>
        </w:rPr>
        <w:instrText xml:space="preserve"> SEQ Figure \* ARABIC </w:instrText>
      </w:r>
      <w:r w:rsidRPr="000D50E6">
        <w:fldChar w:fldCharType="separate"/>
      </w:r>
      <w:r w:rsidRPr="00E71D37">
        <w:rPr>
          <w:noProof/>
          <w:lang w:val="en-US"/>
        </w:rPr>
        <w:t>2</w:t>
      </w:r>
      <w:r w:rsidRPr="000D50E6">
        <w:fldChar w:fldCharType="end"/>
      </w:r>
      <w:r w:rsidRPr="00E71D37">
        <w:rPr>
          <w:lang w:val="en-US"/>
        </w:rPr>
        <w:tab/>
      </w:r>
      <w:r w:rsidRPr="00E71D37">
        <w:rPr>
          <w:rFonts w:hint="eastAsia"/>
          <w:lang w:val="en-US"/>
        </w:rPr>
        <w:t>Problem illustration of directional LBT</w:t>
      </w:r>
    </w:p>
    <w:p w14:paraId="2FC2AD7E" w14:textId="3B159F22" w:rsidR="002708DC" w:rsidRPr="00E71D37" w:rsidRDefault="0019227F" w:rsidP="002708DC">
      <w:pPr>
        <w:pStyle w:val="Observation"/>
        <w:rPr>
          <w:lang w:val="en-US"/>
        </w:rPr>
      </w:pPr>
      <w:r w:rsidRPr="00E71D37">
        <w:rPr>
          <w:lang w:val="en-US"/>
        </w:rPr>
        <w:t>Hidden and exposed node problems may be accentuated with directional LBT at mmWave frequencies.</w:t>
      </w:r>
    </w:p>
    <w:p w14:paraId="0073BF29" w14:textId="73B80B57" w:rsidR="002708DC" w:rsidRPr="00E71D37" w:rsidRDefault="0019227F" w:rsidP="00A603BA">
      <w:pPr>
        <w:pStyle w:val="Proposal"/>
        <w:rPr>
          <w:rFonts w:eastAsia="Times New Roman"/>
          <w:lang w:val="en-US"/>
        </w:rPr>
      </w:pPr>
      <w:bookmarkStart w:id="10" w:name="_Toc505785505"/>
      <w:bookmarkStart w:id="11" w:name="_Toc506283636"/>
      <w:r w:rsidRPr="00E71D37">
        <w:rPr>
          <w:rFonts w:eastAsia="Times New Roman"/>
          <w:lang w:val="en-US"/>
        </w:rPr>
        <w:lastRenderedPageBreak/>
        <w:t>C</w:t>
      </w:r>
      <w:r w:rsidR="002708DC" w:rsidRPr="00E71D37">
        <w:rPr>
          <w:rFonts w:eastAsia="Times New Roman"/>
          <w:lang w:val="en-US"/>
        </w:rPr>
        <w:t>hannel access scheme</w:t>
      </w:r>
      <w:r w:rsidRPr="00E71D37">
        <w:rPr>
          <w:rFonts w:eastAsia="Times New Roman"/>
          <w:lang w:val="en-US"/>
        </w:rPr>
        <w:t>s</w:t>
      </w:r>
      <w:r w:rsidR="002708DC" w:rsidRPr="00E71D37">
        <w:rPr>
          <w:rFonts w:eastAsia="Times New Roman"/>
          <w:lang w:val="en-US"/>
        </w:rPr>
        <w:t xml:space="preserve"> should be studied </w:t>
      </w:r>
      <w:proofErr w:type="gramStart"/>
      <w:r w:rsidRPr="00E71D37">
        <w:rPr>
          <w:rFonts w:eastAsia="Times New Roman"/>
          <w:lang w:val="en-US"/>
        </w:rPr>
        <w:t>taking into account</w:t>
      </w:r>
      <w:proofErr w:type="gramEnd"/>
      <w:r w:rsidRPr="00E71D37">
        <w:rPr>
          <w:rFonts w:eastAsia="Times New Roman"/>
          <w:lang w:val="en-US"/>
        </w:rPr>
        <w:t xml:space="preserve"> the effects of </w:t>
      </w:r>
      <w:r w:rsidR="002708DC" w:rsidRPr="00E71D37">
        <w:rPr>
          <w:rFonts w:eastAsia="Times New Roman"/>
          <w:lang w:val="en-US"/>
        </w:rPr>
        <w:t>high gain beamforming (narrow beam) capabilities of devices operating at such high unlicensed frequencies.</w:t>
      </w:r>
      <w:bookmarkEnd w:id="10"/>
      <w:bookmarkEnd w:id="11"/>
    </w:p>
    <w:p w14:paraId="5ECA8409" w14:textId="77777777" w:rsidR="002708DC" w:rsidRPr="00E71D37" w:rsidRDefault="002708DC" w:rsidP="00A603BA">
      <w:pPr>
        <w:rPr>
          <w:lang w:val="en-US"/>
        </w:rPr>
      </w:pPr>
    </w:p>
    <w:p w14:paraId="7EEA1B5E" w14:textId="450FBEAF" w:rsidR="00216800" w:rsidRDefault="003E134D" w:rsidP="009C2C79">
      <w:pPr>
        <w:pStyle w:val="Heading2"/>
      </w:pPr>
      <w:r>
        <w:t xml:space="preserve">60GHz </w:t>
      </w:r>
      <w:r w:rsidR="009C2C79">
        <w:t>system</w:t>
      </w:r>
      <w:r>
        <w:t xml:space="preserve"> design</w:t>
      </w:r>
    </w:p>
    <w:p w14:paraId="6FA8FA65" w14:textId="37087C9D" w:rsidR="00E90C8E" w:rsidRPr="00E71D37" w:rsidRDefault="00047555" w:rsidP="000D50E6">
      <w:pPr>
        <w:pStyle w:val="BodyText"/>
        <w:rPr>
          <w:lang w:val="en-US"/>
        </w:rPr>
      </w:pPr>
      <w:r w:rsidRPr="00E71D37">
        <w:rPr>
          <w:lang w:val="en-US"/>
        </w:rPr>
        <w:t xml:space="preserve">NR design should aim at carrying out large bandwidth transmissions to efficiently utilize the potential of the large contiguous bandwidths. </w:t>
      </w:r>
      <w:r w:rsidR="00797516" w:rsidRPr="00E71D37">
        <w:rPr>
          <w:lang w:val="en-US"/>
        </w:rPr>
        <w:t xml:space="preserve">Now NR release 15 support up to 400MHz for one carrier and NR systems in 60GHz should support larger bandwidth than this. Besides, it will be simpler for the systems to share the spectrum if they are based on the same channelization. </w:t>
      </w:r>
      <w:r w:rsidR="00E90C8E" w:rsidRPr="00E71D37">
        <w:rPr>
          <w:lang w:val="en-US"/>
        </w:rPr>
        <w:t>Based on the determined supported carrier bandwidth, new numerology should also</w:t>
      </w:r>
      <w:r w:rsidR="00797516" w:rsidRPr="00E71D37">
        <w:rPr>
          <w:lang w:val="en-US"/>
        </w:rPr>
        <w:t xml:space="preserve"> </w:t>
      </w:r>
      <w:r w:rsidR="00E90C8E" w:rsidRPr="00E71D37">
        <w:rPr>
          <w:lang w:val="en-US"/>
        </w:rPr>
        <w:t>be designed to enable larger carrier bandwidth.</w:t>
      </w:r>
    </w:p>
    <w:p w14:paraId="0644C1AF" w14:textId="58AD3365" w:rsidR="00047555" w:rsidRPr="00E71D37" w:rsidRDefault="00E90C8E" w:rsidP="000D50E6">
      <w:pPr>
        <w:pStyle w:val="Proposal"/>
        <w:rPr>
          <w:lang w:val="en-US"/>
        </w:rPr>
      </w:pPr>
      <w:bookmarkStart w:id="12" w:name="_Toc505785506"/>
      <w:bookmarkStart w:id="13" w:name="_Toc506283637"/>
      <w:r w:rsidRPr="00E71D37">
        <w:rPr>
          <w:lang w:val="en-US"/>
        </w:rPr>
        <w:t>NR systems in 60GHz should support carrier bandwidth larger than 400MHz and new numerology design is needed accordingly.</w:t>
      </w:r>
      <w:bookmarkEnd w:id="12"/>
      <w:bookmarkEnd w:id="13"/>
      <w:r w:rsidR="00797516" w:rsidRPr="00E71D37">
        <w:rPr>
          <w:lang w:val="en-US"/>
        </w:rPr>
        <w:t xml:space="preserve"> </w:t>
      </w:r>
    </w:p>
    <w:p w14:paraId="1999891A" w14:textId="0869E014" w:rsidR="009C2C79" w:rsidRPr="00E71D37" w:rsidRDefault="003E134D" w:rsidP="000D50E6">
      <w:pPr>
        <w:pStyle w:val="BodyText"/>
        <w:rPr>
          <w:lang w:val="en-US"/>
        </w:rPr>
      </w:pPr>
      <w:r w:rsidRPr="00E71D37">
        <w:rPr>
          <w:lang w:val="en-US"/>
        </w:rPr>
        <w:t xml:space="preserve">While the 60 GHz frequencies show high propagation path loss, utilizing directional communication and benefiting from beamforming gains become highly attractive. Due to small wavelengths it is </w:t>
      </w:r>
      <w:proofErr w:type="gramStart"/>
      <w:r w:rsidRPr="00E71D37">
        <w:rPr>
          <w:lang w:val="en-US"/>
        </w:rPr>
        <w:t>fairly easy</w:t>
      </w:r>
      <w:proofErr w:type="gramEnd"/>
      <w:r w:rsidRPr="00E71D37">
        <w:rPr>
          <w:lang w:val="en-US"/>
        </w:rPr>
        <w:t xml:space="preserve"> to fabricate small-sized multi element antenna arrays for beamforming. Directional communication naturally reduces the interference probability to other collocated devices. Beamforming, spatial multiplexing and MU-MIMO would be important aspects for NR operation in the mmWave frequencies.</w:t>
      </w:r>
      <w:r w:rsidR="00E90C8E" w:rsidRPr="00E71D37">
        <w:rPr>
          <w:lang w:val="en-US"/>
        </w:rPr>
        <w:t xml:space="preserve"> Beamforming parameters using multi-element antennas and advanced antenna techniques are expected to play an important role for NR operation in cm- and mmWave frequencies. In the context of NR operation in 60 GHz, both transmitter and receiver side beamforming aspects should be studied. </w:t>
      </w:r>
    </w:p>
    <w:p w14:paraId="4BB2B0EA" w14:textId="03110070" w:rsidR="00404A55" w:rsidRPr="00E71D37" w:rsidRDefault="00E90C8E" w:rsidP="000D50E6">
      <w:pPr>
        <w:pStyle w:val="BodyText"/>
        <w:rPr>
          <w:lang w:val="en-US"/>
        </w:rPr>
      </w:pPr>
      <w:r w:rsidRPr="00E71D37">
        <w:rPr>
          <w:lang w:val="en-US"/>
        </w:rPr>
        <w:t xml:space="preserve">In contrast with the licensed operation, there are several specific regulatory requirements for unlicensed spectrum. Therein, transmission power limitation is an important aspect, which is set by regulators and can be different from region to region for a </w:t>
      </w:r>
      <w:proofErr w:type="gramStart"/>
      <w:r w:rsidRPr="00E71D37">
        <w:rPr>
          <w:lang w:val="en-US"/>
        </w:rPr>
        <w:t>particular spectrum</w:t>
      </w:r>
      <w:proofErr w:type="gramEnd"/>
      <w:r w:rsidRPr="00E71D37">
        <w:rPr>
          <w:lang w:val="en-US"/>
        </w:rPr>
        <w:t xml:space="preserve"> band. EIRP (equivalent isotropically radiated power) is usually used as the limitation parameter where it is defined as sum of transmitter output power, antenna gain and beamforming gain.</w:t>
      </w:r>
      <w:r w:rsidR="00404A55" w:rsidRPr="00E71D37">
        <w:rPr>
          <w:lang w:val="en-US"/>
        </w:rPr>
        <w:t xml:space="preserve"> However, with different number of antennas or transmission modes, the beamforming gain is dependent on the number of antennas, number of transmitted spatial streams, etc. For example, if transmit signals are correlated with one another, e.g., single-stream transmit beamforming, the beamforming gain could be calculated as 10log(</w:t>
      </w:r>
      <w:proofErr w:type="spellStart"/>
      <w:r w:rsidR="00404A55" w:rsidRPr="00E71D37">
        <w:rPr>
          <w:i/>
          <w:lang w:val="en-US"/>
        </w:rPr>
        <w:t>N</w:t>
      </w:r>
      <w:r w:rsidR="00404A55" w:rsidRPr="00E71D37">
        <w:rPr>
          <w:rFonts w:hint="eastAsia"/>
          <w:vertAlign w:val="subscript"/>
          <w:lang w:val="en-US"/>
        </w:rPr>
        <w:t>ant</w:t>
      </w:r>
      <w:proofErr w:type="spellEnd"/>
      <w:r w:rsidR="00404A55" w:rsidRPr="00E71D37">
        <w:rPr>
          <w:rFonts w:hint="eastAsia"/>
          <w:lang w:val="en-US"/>
        </w:rPr>
        <w:t>)</w:t>
      </w:r>
      <w:r w:rsidR="00404A55" w:rsidRPr="00E71D37">
        <w:rPr>
          <w:lang w:val="en-US"/>
        </w:rPr>
        <w:t xml:space="preserve">. The calculation details for all possible transmission modes are described in the FCC regulation report </w:t>
      </w:r>
      <w:r w:rsidR="00404A55" w:rsidRPr="009C07BC">
        <w:fldChar w:fldCharType="begin"/>
      </w:r>
      <w:r w:rsidR="00404A55" w:rsidRPr="00E71D37">
        <w:rPr>
          <w:lang w:val="en-US"/>
        </w:rPr>
        <w:instrText xml:space="preserve"> REF _Ref458504950 \r \h  \* MERGEFORMAT </w:instrText>
      </w:r>
      <w:r w:rsidR="00404A55" w:rsidRPr="009C07BC">
        <w:fldChar w:fldCharType="separate"/>
      </w:r>
      <w:r w:rsidR="00404A55" w:rsidRPr="00E71D37">
        <w:rPr>
          <w:lang w:val="en-US"/>
        </w:rPr>
        <w:t>[3]</w:t>
      </w:r>
      <w:r w:rsidR="00404A55" w:rsidRPr="009C07BC">
        <w:fldChar w:fldCharType="end"/>
      </w:r>
      <w:r w:rsidR="00404A55" w:rsidRPr="00E71D37">
        <w:rPr>
          <w:lang w:val="en-US"/>
        </w:rPr>
        <w:t>. Therefore, in different transmission modes, different beamforming gains will result in different transmission power limitations.</w:t>
      </w:r>
    </w:p>
    <w:p w14:paraId="3E4A6F20" w14:textId="62C76D97" w:rsidR="00501E7F" w:rsidRPr="00E71D37" w:rsidRDefault="00501E7F" w:rsidP="00755321">
      <w:pPr>
        <w:pStyle w:val="Observation"/>
        <w:rPr>
          <w:lang w:val="en-US"/>
        </w:rPr>
      </w:pPr>
      <w:r w:rsidRPr="00E71D37">
        <w:rPr>
          <w:lang w:val="en-US"/>
        </w:rPr>
        <w:t>Transmission power could be adapted according to different operating methods and antenna settings with different beamforming gain to meet EIRP requirement.</w:t>
      </w:r>
    </w:p>
    <w:p w14:paraId="14E80562" w14:textId="3F4A5622" w:rsidR="00007C9E" w:rsidRPr="00E71D37" w:rsidRDefault="00501E7F" w:rsidP="00007C9E">
      <w:pPr>
        <w:pStyle w:val="Proposal"/>
        <w:rPr>
          <w:lang w:val="en-US"/>
        </w:rPr>
      </w:pPr>
      <w:bookmarkStart w:id="14" w:name="_Toc457979802"/>
      <w:bookmarkStart w:id="15" w:name="_Toc457980114"/>
      <w:bookmarkStart w:id="16" w:name="_Toc457980326"/>
      <w:bookmarkStart w:id="17" w:name="_Toc458504251"/>
      <w:bookmarkStart w:id="18" w:name="_Toc458504823"/>
      <w:bookmarkStart w:id="19" w:name="_Toc458504858"/>
      <w:bookmarkStart w:id="20" w:name="_Toc505785507"/>
      <w:bookmarkStart w:id="21" w:name="_Toc506283638"/>
      <w:r w:rsidRPr="00E71D37">
        <w:rPr>
          <w:lang w:val="en-US"/>
        </w:rPr>
        <w:t>Transmission power adaptation needs to be studied for NR operation in unlicensed band especially for 60GHz</w:t>
      </w:r>
      <w:r w:rsidR="00404A55" w:rsidRPr="00E71D37">
        <w:rPr>
          <w:lang w:val="en-US"/>
        </w:rPr>
        <w:t>.</w:t>
      </w:r>
      <w:bookmarkEnd w:id="14"/>
      <w:bookmarkEnd w:id="15"/>
      <w:bookmarkEnd w:id="16"/>
      <w:bookmarkEnd w:id="17"/>
      <w:bookmarkEnd w:id="18"/>
      <w:bookmarkEnd w:id="19"/>
      <w:bookmarkEnd w:id="20"/>
      <w:bookmarkEnd w:id="21"/>
    </w:p>
    <w:p w14:paraId="1672BBD6" w14:textId="2504FEE0" w:rsidR="009C2C79" w:rsidRPr="00E71D37" w:rsidRDefault="00404A55" w:rsidP="000D50E6">
      <w:pPr>
        <w:pStyle w:val="BodyText"/>
        <w:rPr>
          <w:lang w:val="en-US"/>
        </w:rPr>
      </w:pPr>
      <w:r w:rsidRPr="00E71D37">
        <w:rPr>
          <w:lang w:val="en-US"/>
        </w:rPr>
        <w:t xml:space="preserve"> </w:t>
      </w:r>
    </w:p>
    <w:p w14:paraId="6F803D1C" w14:textId="77777777" w:rsidR="00C01F33" w:rsidRPr="00CE0424" w:rsidRDefault="00C01F33" w:rsidP="00CE0424">
      <w:pPr>
        <w:pStyle w:val="Heading1"/>
      </w:pPr>
      <w:r w:rsidRPr="00CE0424">
        <w:lastRenderedPageBreak/>
        <w:t>Conclusion</w:t>
      </w:r>
    </w:p>
    <w:p w14:paraId="0DD71EAE" w14:textId="77777777" w:rsidR="00BA4C0D" w:rsidRDefault="002C7B11">
      <w:pPr>
        <w:pStyle w:val="TOC1"/>
      </w:pPr>
      <w:r w:rsidRPr="00F63C5D">
        <w:t xml:space="preserve">In this contribution, we discussed </w:t>
      </w:r>
      <w:r w:rsidR="00404A55">
        <w:t>several issues for NR operation in 60GHz</w:t>
      </w:r>
      <w:r>
        <w:t>. Based on the discussion we have made the following proposal:</w:t>
      </w:r>
    </w:p>
    <w:p w14:paraId="6EEF3243" w14:textId="56BF8ED3" w:rsidR="00A8333B" w:rsidRDefault="006F3B7B">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A8333B">
        <w:t>Proposal 1</w:t>
      </w:r>
      <w:r w:rsidR="00A8333B">
        <w:rPr>
          <w:rFonts w:asciiTheme="minorHAnsi" w:hAnsiTheme="minorHAnsi" w:cstheme="minorBidi"/>
          <w:b w:val="0"/>
          <w:sz w:val="22"/>
        </w:rPr>
        <w:tab/>
      </w:r>
      <w:r w:rsidR="00A8333B">
        <w:t>Further work is needed to establish efficient coexistence in the 60GHz band. However, any optimizations for operation in this band should be considered after the channel access scheme for lower frequency bands (sub-7 GHz) is complete.</w:t>
      </w:r>
    </w:p>
    <w:p w14:paraId="69681D03" w14:textId="77777777" w:rsidR="00A8333B" w:rsidRDefault="00A8333B">
      <w:pPr>
        <w:pStyle w:val="TOC1"/>
        <w:rPr>
          <w:rFonts w:asciiTheme="minorHAnsi" w:hAnsiTheme="minorHAnsi" w:cstheme="minorBidi"/>
          <w:b w:val="0"/>
          <w:sz w:val="22"/>
        </w:rPr>
      </w:pPr>
      <w:r w:rsidRPr="002619BE">
        <w:rPr>
          <w:rFonts w:eastAsia="Times New Roman"/>
        </w:rPr>
        <w:t>Proposal 2</w:t>
      </w:r>
      <w:r>
        <w:rPr>
          <w:rFonts w:asciiTheme="minorHAnsi" w:hAnsiTheme="minorHAnsi" w:cstheme="minorBidi"/>
          <w:b w:val="0"/>
          <w:sz w:val="22"/>
        </w:rPr>
        <w:tab/>
      </w:r>
      <w:r w:rsidRPr="002619BE">
        <w:rPr>
          <w:rFonts w:eastAsia="Times New Roman"/>
        </w:rPr>
        <w:t>Channel access schemes should be studied taking into account the effects of high gain beamforming (narrow beam) capabilities of devices operating at such high unlicensed frequencies.</w:t>
      </w:r>
    </w:p>
    <w:p w14:paraId="5A2DF2DA" w14:textId="77777777" w:rsidR="00A8333B" w:rsidRDefault="00A8333B">
      <w:pPr>
        <w:pStyle w:val="TOC1"/>
        <w:rPr>
          <w:rFonts w:asciiTheme="minorHAnsi" w:hAnsiTheme="minorHAnsi" w:cstheme="minorBidi"/>
          <w:b w:val="0"/>
          <w:sz w:val="22"/>
        </w:rPr>
      </w:pPr>
      <w:r>
        <w:t>Proposal 3</w:t>
      </w:r>
      <w:r>
        <w:rPr>
          <w:rFonts w:asciiTheme="minorHAnsi" w:hAnsiTheme="minorHAnsi" w:cstheme="minorBidi"/>
          <w:b w:val="0"/>
          <w:sz w:val="22"/>
        </w:rPr>
        <w:tab/>
      </w:r>
      <w:r>
        <w:t>NR systems in 60GHz should support carrier bandwidth larger than 400MHz and new numerology design is needed accordingly.</w:t>
      </w:r>
    </w:p>
    <w:p w14:paraId="2FCA6B37" w14:textId="77777777" w:rsidR="00A8333B" w:rsidRDefault="00A8333B">
      <w:pPr>
        <w:pStyle w:val="TOC1"/>
        <w:rPr>
          <w:rFonts w:asciiTheme="minorHAnsi" w:hAnsiTheme="minorHAnsi" w:cstheme="minorBidi"/>
          <w:b w:val="0"/>
          <w:sz w:val="22"/>
        </w:rPr>
      </w:pPr>
      <w:r>
        <w:t>Proposal 4</w:t>
      </w:r>
      <w:r>
        <w:rPr>
          <w:rFonts w:asciiTheme="minorHAnsi" w:hAnsiTheme="minorHAnsi" w:cstheme="minorBidi"/>
          <w:b w:val="0"/>
          <w:sz w:val="22"/>
        </w:rPr>
        <w:tab/>
      </w:r>
      <w:r>
        <w:t>Transmission power adaptation needs to be studied for NR operation in unlicensed band especially for 60GHz.</w:t>
      </w:r>
    </w:p>
    <w:p w14:paraId="41423764" w14:textId="77777777" w:rsidR="00311702" w:rsidRPr="00B6338A" w:rsidRDefault="006F3B7B" w:rsidP="005903CA">
      <w:pPr>
        <w:pStyle w:val="BodyText"/>
        <w:rPr>
          <w:b/>
          <w:bCs/>
          <w:lang w:val="en-US"/>
        </w:rPr>
      </w:pPr>
      <w:r>
        <w:rPr>
          <w:b/>
          <w:bCs/>
        </w:rPr>
        <w:fldChar w:fldCharType="end"/>
      </w:r>
    </w:p>
    <w:p w14:paraId="2453E15B" w14:textId="77777777" w:rsidR="00C01F33" w:rsidRPr="00B6338A" w:rsidRDefault="00C01F33" w:rsidP="006E062C">
      <w:pPr>
        <w:rPr>
          <w:lang w:val="en-US"/>
        </w:rPr>
      </w:pPr>
    </w:p>
    <w:p w14:paraId="40F9145C" w14:textId="77777777" w:rsidR="00F507D1" w:rsidRPr="00CE0424" w:rsidRDefault="00F507D1" w:rsidP="00CE0424">
      <w:pPr>
        <w:pStyle w:val="Heading1"/>
      </w:pPr>
      <w:bookmarkStart w:id="22" w:name="_In-sequence_SDU_delivery"/>
      <w:bookmarkEnd w:id="22"/>
      <w:r w:rsidRPr="00CE0424">
        <w:t>References</w:t>
      </w:r>
    </w:p>
    <w:p w14:paraId="2E8EDF05" w14:textId="01600CEC" w:rsidR="002C7B11" w:rsidRPr="00E71D37" w:rsidRDefault="002C7B11" w:rsidP="002C7B11">
      <w:pPr>
        <w:pStyle w:val="BodyText"/>
        <w:numPr>
          <w:ilvl w:val="0"/>
          <w:numId w:val="19"/>
        </w:numPr>
        <w:rPr>
          <w:lang w:val="en-US" w:eastAsia="ja-JP"/>
        </w:rPr>
      </w:pPr>
      <w:bookmarkStart w:id="23" w:name="_Ref479756368"/>
      <w:bookmarkStart w:id="24" w:name="_Ref481486326"/>
      <w:bookmarkStart w:id="25" w:name="_Ref174151459"/>
      <w:bookmarkStart w:id="26" w:name="_Ref189809556"/>
      <w:r w:rsidRPr="00E71D37">
        <w:rPr>
          <w:lang w:val="en-US"/>
        </w:rPr>
        <w:t>RP-172021, “New SID on NR-based Access to Unlicensed Spectrum”, Qualcomm</w:t>
      </w:r>
      <w:bookmarkEnd w:id="23"/>
      <w:r w:rsidRPr="00E71D37">
        <w:rPr>
          <w:lang w:val="en-US"/>
        </w:rPr>
        <w:t>.</w:t>
      </w:r>
      <w:bookmarkEnd w:id="24"/>
    </w:p>
    <w:p w14:paraId="270BDF76" w14:textId="20CF4FD8" w:rsidR="00590B91" w:rsidRPr="00E71D37" w:rsidRDefault="007F7B9C" w:rsidP="00590B91">
      <w:pPr>
        <w:pStyle w:val="Reference"/>
        <w:numPr>
          <w:ilvl w:val="0"/>
          <w:numId w:val="19"/>
        </w:numPr>
        <w:rPr>
          <w:lang w:val="en-US"/>
        </w:rPr>
      </w:pPr>
      <w:bookmarkStart w:id="27" w:name="_Ref462951715"/>
      <w:r w:rsidRPr="00E71D37">
        <w:rPr>
          <w:lang w:val="en-US"/>
        </w:rPr>
        <w:t xml:space="preserve">Draft </w:t>
      </w:r>
      <w:r w:rsidR="00590B91" w:rsidRPr="00E71D37">
        <w:rPr>
          <w:lang w:val="en-US"/>
        </w:rPr>
        <w:t>ETSI EN 302 567 v</w:t>
      </w:r>
      <w:r w:rsidRPr="00E71D37">
        <w:rPr>
          <w:lang w:val="en-US"/>
        </w:rPr>
        <w:t>2</w:t>
      </w:r>
      <w:r w:rsidR="00590B91" w:rsidRPr="00E71D37">
        <w:rPr>
          <w:lang w:val="en-US"/>
        </w:rPr>
        <w:t>.</w:t>
      </w:r>
      <w:r w:rsidRPr="00E71D37">
        <w:rPr>
          <w:lang w:val="en-US"/>
        </w:rPr>
        <w:t>0</w:t>
      </w:r>
      <w:r w:rsidR="00590B91" w:rsidRPr="00E71D37">
        <w:rPr>
          <w:lang w:val="en-US"/>
        </w:rPr>
        <w:t>.</w:t>
      </w:r>
      <w:r w:rsidRPr="00E71D37">
        <w:rPr>
          <w:lang w:val="en-US"/>
        </w:rPr>
        <w:t>22</w:t>
      </w:r>
      <w:r w:rsidR="00590B91" w:rsidRPr="00E71D37">
        <w:rPr>
          <w:lang w:val="en-US"/>
        </w:rPr>
        <w:t xml:space="preserve"> (201</w:t>
      </w:r>
      <w:r w:rsidRPr="00E71D37">
        <w:rPr>
          <w:lang w:val="en-US"/>
        </w:rPr>
        <w:t>6-</w:t>
      </w:r>
      <w:r w:rsidR="00590B91" w:rsidRPr="00E71D37">
        <w:rPr>
          <w:lang w:val="en-US"/>
        </w:rPr>
        <w:t>1</w:t>
      </w:r>
      <w:r w:rsidRPr="00E71D37">
        <w:rPr>
          <w:lang w:val="en-US"/>
        </w:rPr>
        <w:t>2</w:t>
      </w:r>
      <w:r w:rsidR="00590B91" w:rsidRPr="00E71D37">
        <w:rPr>
          <w:lang w:val="en-US"/>
        </w:rPr>
        <w:t>) “Broadband Radio Access Networks (BRAN); 60 GHz Multiple-Gigabit WAS/RLAN Systems; Harmonized EN covering the essential requirements of article 3.2 of the R&amp;TTE Directive” (</w:t>
      </w:r>
      <w:hyperlink r:id="rId13" w:history="1">
        <w:r w:rsidR="00590B91" w:rsidRPr="004B4D39">
          <w:rPr>
            <w:rStyle w:val="Hyperlink"/>
          </w:rPr>
          <w:t>Link</w:t>
        </w:r>
      </w:hyperlink>
      <w:r w:rsidR="00590B91" w:rsidRPr="00E71D37">
        <w:rPr>
          <w:lang w:val="en-US"/>
        </w:rPr>
        <w:t>)</w:t>
      </w:r>
      <w:bookmarkEnd w:id="27"/>
    </w:p>
    <w:p w14:paraId="0447CB06" w14:textId="25463DD5" w:rsidR="007F7B9C" w:rsidRPr="00E71D37" w:rsidRDefault="007F7B9C" w:rsidP="007F7B9C">
      <w:pPr>
        <w:pStyle w:val="Reference"/>
        <w:numPr>
          <w:ilvl w:val="0"/>
          <w:numId w:val="19"/>
        </w:numPr>
        <w:rPr>
          <w:lang w:val="en-US"/>
        </w:rPr>
      </w:pPr>
      <w:bookmarkStart w:id="28" w:name="_Ref505774553"/>
      <w:r w:rsidRPr="00E71D37">
        <w:rPr>
          <w:lang w:val="en-US"/>
        </w:rPr>
        <w:t xml:space="preserve">FCC Part 15 Rules for Unlicensed Operation in the 57-64 GHz Band </w:t>
      </w:r>
      <w:r w:rsidR="00D724A4" w:rsidRPr="00E71D37">
        <w:rPr>
          <w:lang w:val="en-US"/>
        </w:rPr>
        <w:t>(</w:t>
      </w:r>
      <w:hyperlink r:id="rId14" w:history="1">
        <w:r w:rsidR="00D724A4" w:rsidRPr="00D724A4">
          <w:rPr>
            <w:rStyle w:val="Hyperlink"/>
          </w:rPr>
          <w:t>Link</w:t>
        </w:r>
        <w:bookmarkEnd w:id="28"/>
      </w:hyperlink>
      <w:r w:rsidR="00D724A4" w:rsidRPr="00E71D37">
        <w:rPr>
          <w:lang w:val="en-US"/>
        </w:rPr>
        <w:t>)</w:t>
      </w:r>
    </w:p>
    <w:p w14:paraId="5C801781" w14:textId="7A198190" w:rsidR="003A7EF3" w:rsidRPr="00E71D37" w:rsidRDefault="00D724A4" w:rsidP="00D724A4">
      <w:pPr>
        <w:pStyle w:val="BodyText"/>
        <w:numPr>
          <w:ilvl w:val="0"/>
          <w:numId w:val="19"/>
        </w:numPr>
        <w:rPr>
          <w:lang w:val="en-US" w:eastAsia="ja-JP"/>
        </w:rPr>
      </w:pPr>
      <w:bookmarkStart w:id="29" w:name="_Ref505777945"/>
      <w:r w:rsidRPr="00E71D37">
        <w:rPr>
          <w:lang w:val="en-US" w:eastAsia="ja-JP"/>
        </w:rPr>
        <w:t>R1-1802771</w:t>
      </w:r>
      <w:r w:rsidR="007C369B" w:rsidRPr="00E71D37">
        <w:rPr>
          <w:lang w:val="en-US" w:eastAsia="ja-JP"/>
        </w:rPr>
        <w:t>, “NR-U evaluation methodology”, Ericsson.</w:t>
      </w:r>
      <w:bookmarkEnd w:id="25"/>
      <w:bookmarkEnd w:id="26"/>
      <w:bookmarkEnd w:id="29"/>
    </w:p>
    <w:sectPr w:rsidR="003A7EF3" w:rsidRPr="00E71D3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DD06E" w14:textId="77777777" w:rsidR="009775E2" w:rsidRDefault="009775E2">
      <w:r>
        <w:separator/>
      </w:r>
    </w:p>
  </w:endnote>
  <w:endnote w:type="continuationSeparator" w:id="0">
    <w:p w14:paraId="7930397A" w14:textId="77777777" w:rsidR="009775E2" w:rsidRDefault="0097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7CCC" w14:textId="2FEB3024" w:rsidR="003F0C56" w:rsidRDefault="003F0C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6B0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6B0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A93C7" w14:textId="77777777" w:rsidR="009775E2" w:rsidRDefault="009775E2">
      <w:r>
        <w:separator/>
      </w:r>
    </w:p>
  </w:footnote>
  <w:footnote w:type="continuationSeparator" w:id="0">
    <w:p w14:paraId="00770AF7" w14:textId="77777777" w:rsidR="009775E2" w:rsidRDefault="0097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E86CF" w14:textId="77777777" w:rsidR="003F0C56" w:rsidRDefault="003F0C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22A2A"/>
    <w:multiLevelType w:val="hybridMultilevel"/>
    <w:tmpl w:val="0C264B2C"/>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9304FF"/>
    <w:multiLevelType w:val="hybridMultilevel"/>
    <w:tmpl w:val="346674B8"/>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4"/>
  </w:num>
  <w:num w:numId="15">
    <w:abstractNumId w:val="15"/>
  </w:num>
  <w:num w:numId="16">
    <w:abstractNumId w:val="11"/>
  </w:num>
  <w:num w:numId="17">
    <w:abstractNumId w:val="8"/>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9"/>
  </w:num>
  <w:num w:numId="21">
    <w:abstractNumId w:val="9"/>
  </w:num>
  <w:num w:numId="22">
    <w:abstractNumId w:val="9"/>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0E6"/>
    <w:rsid w:val="000006E1"/>
    <w:rsid w:val="00002A37"/>
    <w:rsid w:val="00006446"/>
    <w:rsid w:val="00006896"/>
    <w:rsid w:val="00006B58"/>
    <w:rsid w:val="00007C9E"/>
    <w:rsid w:val="00007CDC"/>
    <w:rsid w:val="00011B28"/>
    <w:rsid w:val="00015D15"/>
    <w:rsid w:val="0002285A"/>
    <w:rsid w:val="0002564D"/>
    <w:rsid w:val="00025ECA"/>
    <w:rsid w:val="00027939"/>
    <w:rsid w:val="000325B8"/>
    <w:rsid w:val="00034C15"/>
    <w:rsid w:val="00036BA1"/>
    <w:rsid w:val="000422E2"/>
    <w:rsid w:val="00042F22"/>
    <w:rsid w:val="000444EF"/>
    <w:rsid w:val="00047555"/>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0E6"/>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4628"/>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664A"/>
    <w:rsid w:val="00177795"/>
    <w:rsid w:val="0018143F"/>
    <w:rsid w:val="00190AC1"/>
    <w:rsid w:val="0019227F"/>
    <w:rsid w:val="0019341A"/>
    <w:rsid w:val="00193EB0"/>
    <w:rsid w:val="00197DF9"/>
    <w:rsid w:val="001A1987"/>
    <w:rsid w:val="001A2564"/>
    <w:rsid w:val="001A5283"/>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00"/>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1535"/>
    <w:rsid w:val="00257543"/>
    <w:rsid w:val="002617E7"/>
    <w:rsid w:val="00261FC8"/>
    <w:rsid w:val="00264228"/>
    <w:rsid w:val="00264334"/>
    <w:rsid w:val="0026473E"/>
    <w:rsid w:val="00266214"/>
    <w:rsid w:val="00267C83"/>
    <w:rsid w:val="002708DC"/>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C7B11"/>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4781"/>
    <w:rsid w:val="00317974"/>
    <w:rsid w:val="00317B01"/>
    <w:rsid w:val="003203ED"/>
    <w:rsid w:val="00322C9F"/>
    <w:rsid w:val="00324D23"/>
    <w:rsid w:val="00325AB5"/>
    <w:rsid w:val="00331751"/>
    <w:rsid w:val="003341C3"/>
    <w:rsid w:val="00334579"/>
    <w:rsid w:val="00335858"/>
    <w:rsid w:val="00336BDA"/>
    <w:rsid w:val="003420BD"/>
    <w:rsid w:val="00342BD7"/>
    <w:rsid w:val="00343832"/>
    <w:rsid w:val="00343A07"/>
    <w:rsid w:val="00346DB5"/>
    <w:rsid w:val="003477B1"/>
    <w:rsid w:val="0035482C"/>
    <w:rsid w:val="00357380"/>
    <w:rsid w:val="003602D9"/>
    <w:rsid w:val="003604CE"/>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34D"/>
    <w:rsid w:val="003E15FA"/>
    <w:rsid w:val="003E55E4"/>
    <w:rsid w:val="003E74E3"/>
    <w:rsid w:val="003E75BA"/>
    <w:rsid w:val="003F05C7"/>
    <w:rsid w:val="003F0C56"/>
    <w:rsid w:val="003F2CD4"/>
    <w:rsid w:val="003F6BBE"/>
    <w:rsid w:val="004000E8"/>
    <w:rsid w:val="00402E2B"/>
    <w:rsid w:val="00404A55"/>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4F56"/>
    <w:rsid w:val="00445F60"/>
    <w:rsid w:val="00446488"/>
    <w:rsid w:val="004517AA"/>
    <w:rsid w:val="00452CAC"/>
    <w:rsid w:val="00457565"/>
    <w:rsid w:val="00457B71"/>
    <w:rsid w:val="00465F3A"/>
    <w:rsid w:val="004669E2"/>
    <w:rsid w:val="00470C31"/>
    <w:rsid w:val="004734D0"/>
    <w:rsid w:val="0047556B"/>
    <w:rsid w:val="004755D0"/>
    <w:rsid w:val="00477768"/>
    <w:rsid w:val="00480685"/>
    <w:rsid w:val="00492BC5"/>
    <w:rsid w:val="004964F1"/>
    <w:rsid w:val="004A16BC"/>
    <w:rsid w:val="004A2B94"/>
    <w:rsid w:val="004B1D5C"/>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1838"/>
    <w:rsid w:val="00501E7F"/>
    <w:rsid w:val="00506557"/>
    <w:rsid w:val="0050677A"/>
    <w:rsid w:val="005108D8"/>
    <w:rsid w:val="005116F9"/>
    <w:rsid w:val="005153A7"/>
    <w:rsid w:val="00521760"/>
    <w:rsid w:val="005219CF"/>
    <w:rsid w:val="00525B79"/>
    <w:rsid w:val="00531534"/>
    <w:rsid w:val="005338D0"/>
    <w:rsid w:val="00534B59"/>
    <w:rsid w:val="00536759"/>
    <w:rsid w:val="00537C62"/>
    <w:rsid w:val="00546970"/>
    <w:rsid w:val="005479F6"/>
    <w:rsid w:val="00554E19"/>
    <w:rsid w:val="0056121F"/>
    <w:rsid w:val="00572505"/>
    <w:rsid w:val="00580202"/>
    <w:rsid w:val="00582809"/>
    <w:rsid w:val="0058798C"/>
    <w:rsid w:val="005900FA"/>
    <w:rsid w:val="005903CA"/>
    <w:rsid w:val="00590B91"/>
    <w:rsid w:val="005935A4"/>
    <w:rsid w:val="005948C2"/>
    <w:rsid w:val="00595DCA"/>
    <w:rsid w:val="0059779B"/>
    <w:rsid w:val="005A209A"/>
    <w:rsid w:val="005A662D"/>
    <w:rsid w:val="005B35D7"/>
    <w:rsid w:val="005B392A"/>
    <w:rsid w:val="005B3AA3"/>
    <w:rsid w:val="005B3E86"/>
    <w:rsid w:val="005B6F83"/>
    <w:rsid w:val="005C3986"/>
    <w:rsid w:val="005C74FB"/>
    <w:rsid w:val="005D1602"/>
    <w:rsid w:val="005E385F"/>
    <w:rsid w:val="005E5B81"/>
    <w:rsid w:val="005F2CB1"/>
    <w:rsid w:val="005F3025"/>
    <w:rsid w:val="005F4D03"/>
    <w:rsid w:val="005F618C"/>
    <w:rsid w:val="005F70BD"/>
    <w:rsid w:val="0060283C"/>
    <w:rsid w:val="00604F14"/>
    <w:rsid w:val="00605F62"/>
    <w:rsid w:val="006061D9"/>
    <w:rsid w:val="00611B83"/>
    <w:rsid w:val="00613257"/>
    <w:rsid w:val="006201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0E4"/>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2141"/>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5321"/>
    <w:rsid w:val="007571E1"/>
    <w:rsid w:val="007604B2"/>
    <w:rsid w:val="00765281"/>
    <w:rsid w:val="00766BAD"/>
    <w:rsid w:val="007730BD"/>
    <w:rsid w:val="007755F2"/>
    <w:rsid w:val="00776971"/>
    <w:rsid w:val="0078177E"/>
    <w:rsid w:val="007821A8"/>
    <w:rsid w:val="0078304C"/>
    <w:rsid w:val="00783673"/>
    <w:rsid w:val="00785490"/>
    <w:rsid w:val="007925EA"/>
    <w:rsid w:val="00793CD8"/>
    <w:rsid w:val="00794636"/>
    <w:rsid w:val="00795C92"/>
    <w:rsid w:val="00796231"/>
    <w:rsid w:val="00797516"/>
    <w:rsid w:val="007A1CB3"/>
    <w:rsid w:val="007A306F"/>
    <w:rsid w:val="007A43A6"/>
    <w:rsid w:val="007A58A6"/>
    <w:rsid w:val="007B3D2D"/>
    <w:rsid w:val="007B50AE"/>
    <w:rsid w:val="007B51DF"/>
    <w:rsid w:val="007C05DD"/>
    <w:rsid w:val="007C1441"/>
    <w:rsid w:val="007C369B"/>
    <w:rsid w:val="007C3D18"/>
    <w:rsid w:val="007C60BF"/>
    <w:rsid w:val="007C6A07"/>
    <w:rsid w:val="007C75A1"/>
    <w:rsid w:val="007C77A5"/>
    <w:rsid w:val="007D04E5"/>
    <w:rsid w:val="007D5901"/>
    <w:rsid w:val="007D7526"/>
    <w:rsid w:val="007E291B"/>
    <w:rsid w:val="007E4610"/>
    <w:rsid w:val="007E4715"/>
    <w:rsid w:val="007E505B"/>
    <w:rsid w:val="007E7091"/>
    <w:rsid w:val="007F7B9C"/>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4D5B"/>
    <w:rsid w:val="008677FD"/>
    <w:rsid w:val="008706D4"/>
    <w:rsid w:val="00870F8A"/>
    <w:rsid w:val="008719A4"/>
    <w:rsid w:val="00871D23"/>
    <w:rsid w:val="00874312"/>
    <w:rsid w:val="0087437C"/>
    <w:rsid w:val="00875CD7"/>
    <w:rsid w:val="00876B4D"/>
    <w:rsid w:val="00877F18"/>
    <w:rsid w:val="00894A88"/>
    <w:rsid w:val="00895386"/>
    <w:rsid w:val="00897731"/>
    <w:rsid w:val="008A21FF"/>
    <w:rsid w:val="008A2CE2"/>
    <w:rsid w:val="008A30AC"/>
    <w:rsid w:val="008A44B8"/>
    <w:rsid w:val="008A51A8"/>
    <w:rsid w:val="008A54C7"/>
    <w:rsid w:val="008A77D8"/>
    <w:rsid w:val="008B0483"/>
    <w:rsid w:val="008B120C"/>
    <w:rsid w:val="008B51A0"/>
    <w:rsid w:val="008B592A"/>
    <w:rsid w:val="008B74AB"/>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E4249"/>
    <w:rsid w:val="008F1EAB"/>
    <w:rsid w:val="008F33DC"/>
    <w:rsid w:val="008F477F"/>
    <w:rsid w:val="00902350"/>
    <w:rsid w:val="0090336B"/>
    <w:rsid w:val="009053AA"/>
    <w:rsid w:val="00906939"/>
    <w:rsid w:val="00910847"/>
    <w:rsid w:val="00910B7D"/>
    <w:rsid w:val="00911DFB"/>
    <w:rsid w:val="009139D9"/>
    <w:rsid w:val="00914414"/>
    <w:rsid w:val="00914AD8"/>
    <w:rsid w:val="00916079"/>
    <w:rsid w:val="00917CE9"/>
    <w:rsid w:val="00920BF2"/>
    <w:rsid w:val="00922010"/>
    <w:rsid w:val="009309F5"/>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775E2"/>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2C79"/>
    <w:rsid w:val="009C403E"/>
    <w:rsid w:val="009D4FF0"/>
    <w:rsid w:val="009D703C"/>
    <w:rsid w:val="009D718F"/>
    <w:rsid w:val="009E068F"/>
    <w:rsid w:val="009E14E0"/>
    <w:rsid w:val="009E35DB"/>
    <w:rsid w:val="009E47A3"/>
    <w:rsid w:val="009F08F3"/>
    <w:rsid w:val="009F1ECE"/>
    <w:rsid w:val="009F344F"/>
    <w:rsid w:val="00A00B0B"/>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03BA"/>
    <w:rsid w:val="00A61499"/>
    <w:rsid w:val="00A62A77"/>
    <w:rsid w:val="00A63483"/>
    <w:rsid w:val="00A657D7"/>
    <w:rsid w:val="00A660AC"/>
    <w:rsid w:val="00A67E6C"/>
    <w:rsid w:val="00A71B99"/>
    <w:rsid w:val="00A739D0"/>
    <w:rsid w:val="00A761D4"/>
    <w:rsid w:val="00A77EC4"/>
    <w:rsid w:val="00A8333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AAA"/>
    <w:rsid w:val="00B632A8"/>
    <w:rsid w:val="00B6338A"/>
    <w:rsid w:val="00B664C7"/>
    <w:rsid w:val="00B739F6"/>
    <w:rsid w:val="00B74ACB"/>
    <w:rsid w:val="00B81A6C"/>
    <w:rsid w:val="00B82B7F"/>
    <w:rsid w:val="00B85DE5"/>
    <w:rsid w:val="00B90F73"/>
    <w:rsid w:val="00B93B59"/>
    <w:rsid w:val="00B9406A"/>
    <w:rsid w:val="00BA1E2E"/>
    <w:rsid w:val="00BA2280"/>
    <w:rsid w:val="00BA2A08"/>
    <w:rsid w:val="00BA4C0D"/>
    <w:rsid w:val="00BA56D2"/>
    <w:rsid w:val="00BA6A76"/>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A54"/>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55569"/>
    <w:rsid w:val="00C60783"/>
    <w:rsid w:val="00C64672"/>
    <w:rsid w:val="00C70094"/>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B61"/>
    <w:rsid w:val="00CE7561"/>
    <w:rsid w:val="00CF1354"/>
    <w:rsid w:val="00CF3B1F"/>
    <w:rsid w:val="00CF3BF6"/>
    <w:rsid w:val="00CF625B"/>
    <w:rsid w:val="00CF687E"/>
    <w:rsid w:val="00CF6B0C"/>
    <w:rsid w:val="00D0349B"/>
    <w:rsid w:val="00D04434"/>
    <w:rsid w:val="00D10249"/>
    <w:rsid w:val="00D115C3"/>
    <w:rsid w:val="00D11897"/>
    <w:rsid w:val="00D13135"/>
    <w:rsid w:val="00D13E4E"/>
    <w:rsid w:val="00D239A7"/>
    <w:rsid w:val="00D23D72"/>
    <w:rsid w:val="00D23F47"/>
    <w:rsid w:val="00D3005B"/>
    <w:rsid w:val="00D307DD"/>
    <w:rsid w:val="00D31324"/>
    <w:rsid w:val="00D33ED0"/>
    <w:rsid w:val="00D36E71"/>
    <w:rsid w:val="00D37D87"/>
    <w:rsid w:val="00D40B33"/>
    <w:rsid w:val="00D4318F"/>
    <w:rsid w:val="00D438BF"/>
    <w:rsid w:val="00D440F8"/>
    <w:rsid w:val="00D45084"/>
    <w:rsid w:val="00D50701"/>
    <w:rsid w:val="00D546FF"/>
    <w:rsid w:val="00D55AD5"/>
    <w:rsid w:val="00D576CA"/>
    <w:rsid w:val="00D6004F"/>
    <w:rsid w:val="00D60E13"/>
    <w:rsid w:val="00D61AF5"/>
    <w:rsid w:val="00D62CD5"/>
    <w:rsid w:val="00D6435F"/>
    <w:rsid w:val="00D652B5"/>
    <w:rsid w:val="00D66155"/>
    <w:rsid w:val="00D708B0"/>
    <w:rsid w:val="00D70E73"/>
    <w:rsid w:val="00D724A4"/>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E7585"/>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6862"/>
    <w:rsid w:val="00E3723A"/>
    <w:rsid w:val="00E37860"/>
    <w:rsid w:val="00E436AC"/>
    <w:rsid w:val="00E446F1"/>
    <w:rsid w:val="00E46886"/>
    <w:rsid w:val="00E47AEF"/>
    <w:rsid w:val="00E53B75"/>
    <w:rsid w:val="00E54E3B"/>
    <w:rsid w:val="00E55946"/>
    <w:rsid w:val="00E57565"/>
    <w:rsid w:val="00E63838"/>
    <w:rsid w:val="00E64434"/>
    <w:rsid w:val="00E67C51"/>
    <w:rsid w:val="00E71D37"/>
    <w:rsid w:val="00E72EFC"/>
    <w:rsid w:val="00E74B6E"/>
    <w:rsid w:val="00E758EC"/>
    <w:rsid w:val="00E8234C"/>
    <w:rsid w:val="00E83AA9"/>
    <w:rsid w:val="00E85928"/>
    <w:rsid w:val="00E87822"/>
    <w:rsid w:val="00E90395"/>
    <w:rsid w:val="00E90C8E"/>
    <w:rsid w:val="00E90E49"/>
    <w:rsid w:val="00E917F9"/>
    <w:rsid w:val="00E9291C"/>
    <w:rsid w:val="00E93FFE"/>
    <w:rsid w:val="00E94F8A"/>
    <w:rsid w:val="00EA7A41"/>
    <w:rsid w:val="00EB077B"/>
    <w:rsid w:val="00EB1AA4"/>
    <w:rsid w:val="00EB4EA2"/>
    <w:rsid w:val="00EB5C05"/>
    <w:rsid w:val="00EC21EA"/>
    <w:rsid w:val="00EC27C6"/>
    <w:rsid w:val="00EC4207"/>
    <w:rsid w:val="00EC5653"/>
    <w:rsid w:val="00EC60B5"/>
    <w:rsid w:val="00EC71CE"/>
    <w:rsid w:val="00ED1006"/>
    <w:rsid w:val="00EF18FE"/>
    <w:rsid w:val="00EF55EB"/>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23AE"/>
    <w:rsid w:val="00F6033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B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D3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309F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309F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309F5"/>
    <w:pPr>
      <w:numPr>
        <w:ilvl w:val="2"/>
      </w:numPr>
      <w:spacing w:before="120"/>
      <w:outlineLvl w:val="2"/>
    </w:pPr>
    <w:rPr>
      <w:sz w:val="28"/>
      <w:szCs w:val="28"/>
    </w:rPr>
  </w:style>
  <w:style w:type="paragraph" w:styleId="Heading4">
    <w:name w:val="heading 4"/>
    <w:basedOn w:val="Heading3"/>
    <w:next w:val="Normal"/>
    <w:qFormat/>
    <w:rsid w:val="009309F5"/>
    <w:pPr>
      <w:numPr>
        <w:ilvl w:val="3"/>
      </w:numPr>
      <w:outlineLvl w:val="3"/>
    </w:pPr>
    <w:rPr>
      <w:sz w:val="24"/>
      <w:szCs w:val="24"/>
    </w:rPr>
  </w:style>
  <w:style w:type="paragraph" w:styleId="Heading5">
    <w:name w:val="heading 5"/>
    <w:basedOn w:val="Heading4"/>
    <w:next w:val="Normal"/>
    <w:qFormat/>
    <w:rsid w:val="009309F5"/>
    <w:pPr>
      <w:numPr>
        <w:ilvl w:val="4"/>
      </w:numPr>
      <w:outlineLvl w:val="4"/>
    </w:pPr>
    <w:rPr>
      <w:sz w:val="22"/>
      <w:szCs w:val="22"/>
    </w:rPr>
  </w:style>
  <w:style w:type="paragraph" w:styleId="Heading6">
    <w:name w:val="heading 6"/>
    <w:basedOn w:val="Normal"/>
    <w:next w:val="Normal"/>
    <w:qFormat/>
    <w:rsid w:val="009309F5"/>
    <w:pPr>
      <w:keepNext/>
      <w:keepLines/>
      <w:numPr>
        <w:ilvl w:val="5"/>
        <w:numId w:val="1"/>
      </w:numPr>
      <w:spacing w:before="120"/>
      <w:outlineLvl w:val="5"/>
    </w:pPr>
    <w:rPr>
      <w:rFonts w:cs="Arial"/>
    </w:rPr>
  </w:style>
  <w:style w:type="paragraph" w:styleId="Heading7">
    <w:name w:val="heading 7"/>
    <w:basedOn w:val="Normal"/>
    <w:next w:val="Normal"/>
    <w:qFormat/>
    <w:rsid w:val="009309F5"/>
    <w:pPr>
      <w:keepNext/>
      <w:keepLines/>
      <w:numPr>
        <w:ilvl w:val="6"/>
        <w:numId w:val="1"/>
      </w:numPr>
      <w:spacing w:before="120"/>
      <w:outlineLvl w:val="6"/>
    </w:pPr>
    <w:rPr>
      <w:rFonts w:cs="Arial"/>
    </w:rPr>
  </w:style>
  <w:style w:type="paragraph" w:styleId="Heading8">
    <w:name w:val="heading 8"/>
    <w:basedOn w:val="Heading7"/>
    <w:next w:val="Normal"/>
    <w:qFormat/>
    <w:rsid w:val="009309F5"/>
    <w:pPr>
      <w:numPr>
        <w:ilvl w:val="7"/>
      </w:numPr>
      <w:outlineLvl w:val="7"/>
    </w:pPr>
  </w:style>
  <w:style w:type="paragraph" w:styleId="Heading9">
    <w:name w:val="heading 9"/>
    <w:basedOn w:val="Heading8"/>
    <w:next w:val="Normal"/>
    <w:qFormat/>
    <w:rsid w:val="009309F5"/>
    <w:pPr>
      <w:numPr>
        <w:ilvl w:val="8"/>
      </w:numPr>
      <w:outlineLvl w:val="8"/>
    </w:pPr>
  </w:style>
  <w:style w:type="character" w:default="1" w:styleId="DefaultParagraphFont">
    <w:name w:val="Default Paragraph Font"/>
    <w:uiPriority w:val="1"/>
    <w:semiHidden/>
    <w:unhideWhenUsed/>
    <w:rsid w:val="00E71D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1D37"/>
  </w:style>
  <w:style w:type="paragraph" w:styleId="TOC8">
    <w:name w:val="toc 8"/>
    <w:basedOn w:val="TOC1"/>
    <w:semiHidden/>
    <w:rsid w:val="009309F5"/>
    <w:pPr>
      <w:spacing w:before="180"/>
      <w:ind w:left="2693" w:hanging="2693"/>
    </w:pPr>
    <w:rPr>
      <w:b w:val="0"/>
      <w:bCs/>
    </w:rPr>
  </w:style>
  <w:style w:type="paragraph" w:styleId="TOC1">
    <w:name w:val="toc 1"/>
    <w:aliases w:val="Observation TOC2"/>
    <w:uiPriority w:val="39"/>
    <w:rsid w:val="009309F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309F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309F5"/>
    <w:pPr>
      <w:spacing w:after="240"/>
      <w:jc w:val="center"/>
    </w:pPr>
    <w:rPr>
      <w:b/>
      <w:bCs/>
    </w:rPr>
  </w:style>
  <w:style w:type="paragraph" w:styleId="TOC5">
    <w:name w:val="toc 5"/>
    <w:aliases w:val="Observation TOC"/>
    <w:basedOn w:val="TOC4"/>
    <w:semiHidden/>
    <w:rsid w:val="009309F5"/>
    <w:pPr>
      <w:tabs>
        <w:tab w:val="right" w:pos="1701"/>
      </w:tabs>
      <w:ind w:left="1701" w:hanging="1701"/>
    </w:pPr>
  </w:style>
  <w:style w:type="paragraph" w:styleId="TOC4">
    <w:name w:val="toc 4"/>
    <w:basedOn w:val="TOC3"/>
    <w:semiHidden/>
    <w:rsid w:val="009309F5"/>
    <w:pPr>
      <w:ind w:left="1418" w:hanging="1418"/>
    </w:pPr>
  </w:style>
  <w:style w:type="paragraph" w:styleId="TOC3">
    <w:name w:val="toc 3"/>
    <w:basedOn w:val="TOC2"/>
    <w:semiHidden/>
    <w:rsid w:val="009309F5"/>
    <w:pPr>
      <w:ind w:left="1134" w:hanging="1134"/>
    </w:pPr>
  </w:style>
  <w:style w:type="paragraph" w:styleId="TOC2">
    <w:name w:val="toc 2"/>
    <w:basedOn w:val="TOC1"/>
    <w:semiHidden/>
    <w:rsid w:val="009309F5"/>
    <w:pPr>
      <w:keepNext w:val="0"/>
      <w:spacing w:before="0"/>
      <w:ind w:left="851" w:hanging="851"/>
    </w:pPr>
    <w:rPr>
      <w:szCs w:val="20"/>
    </w:rPr>
  </w:style>
  <w:style w:type="paragraph" w:styleId="Index2">
    <w:name w:val="index 2"/>
    <w:basedOn w:val="Index1"/>
    <w:semiHidden/>
    <w:rsid w:val="009309F5"/>
    <w:pPr>
      <w:ind w:left="284"/>
    </w:pPr>
  </w:style>
  <w:style w:type="paragraph" w:styleId="Index1">
    <w:name w:val="index 1"/>
    <w:basedOn w:val="Normal"/>
    <w:semiHidden/>
    <w:rsid w:val="009309F5"/>
    <w:pPr>
      <w:keepLines/>
      <w:spacing w:after="0"/>
    </w:pPr>
  </w:style>
  <w:style w:type="paragraph" w:styleId="DocumentMap">
    <w:name w:val="Document Map"/>
    <w:basedOn w:val="Normal"/>
    <w:semiHidden/>
    <w:rsid w:val="009309F5"/>
    <w:pPr>
      <w:shd w:val="clear" w:color="auto" w:fill="000080"/>
    </w:pPr>
    <w:rPr>
      <w:rFonts w:ascii="Tahoma" w:hAnsi="Tahoma" w:cs="Tahoma"/>
    </w:rPr>
  </w:style>
  <w:style w:type="paragraph" w:styleId="ListNumber2">
    <w:name w:val="List Number 2"/>
    <w:basedOn w:val="ListNumber"/>
    <w:rsid w:val="009309F5"/>
    <w:pPr>
      <w:ind w:left="851"/>
    </w:pPr>
  </w:style>
  <w:style w:type="paragraph" w:styleId="ListNumber">
    <w:name w:val="List Number"/>
    <w:basedOn w:val="List"/>
    <w:rsid w:val="009309F5"/>
  </w:style>
  <w:style w:type="paragraph" w:styleId="List">
    <w:name w:val="List"/>
    <w:basedOn w:val="Normal"/>
    <w:rsid w:val="009309F5"/>
    <w:pPr>
      <w:ind w:left="568" w:hanging="284"/>
    </w:pPr>
  </w:style>
  <w:style w:type="paragraph" w:styleId="Header">
    <w:name w:val="header"/>
    <w:rsid w:val="009309F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309F5"/>
    <w:rPr>
      <w:b/>
      <w:bCs/>
      <w:position w:val="6"/>
      <w:sz w:val="16"/>
      <w:szCs w:val="16"/>
    </w:rPr>
  </w:style>
  <w:style w:type="paragraph" w:styleId="FootnoteText">
    <w:name w:val="footnote text"/>
    <w:basedOn w:val="Normal"/>
    <w:semiHidden/>
    <w:rsid w:val="009309F5"/>
    <w:pPr>
      <w:keepLines/>
      <w:spacing w:after="0"/>
      <w:ind w:left="454" w:hanging="454"/>
    </w:pPr>
    <w:rPr>
      <w:sz w:val="16"/>
      <w:szCs w:val="16"/>
    </w:rPr>
  </w:style>
  <w:style w:type="paragraph" w:customStyle="1" w:styleId="3GPPHeader">
    <w:name w:val="3GPP_Header"/>
    <w:basedOn w:val="Normal"/>
    <w:rsid w:val="009309F5"/>
    <w:pPr>
      <w:tabs>
        <w:tab w:val="left" w:pos="1701"/>
        <w:tab w:val="right" w:pos="9639"/>
      </w:tabs>
      <w:spacing w:after="240"/>
    </w:pPr>
    <w:rPr>
      <w:b/>
      <w:sz w:val="24"/>
    </w:rPr>
  </w:style>
  <w:style w:type="paragraph" w:styleId="TOC9">
    <w:name w:val="toc 9"/>
    <w:basedOn w:val="TOC8"/>
    <w:semiHidden/>
    <w:rsid w:val="009309F5"/>
    <w:pPr>
      <w:ind w:left="1418" w:hanging="1418"/>
    </w:pPr>
  </w:style>
  <w:style w:type="paragraph" w:styleId="TOC6">
    <w:name w:val="toc 6"/>
    <w:basedOn w:val="TOC5"/>
    <w:next w:val="Normal"/>
    <w:semiHidden/>
    <w:rsid w:val="009309F5"/>
    <w:pPr>
      <w:ind w:left="1985" w:hanging="1985"/>
    </w:pPr>
  </w:style>
  <w:style w:type="paragraph" w:styleId="TOC7">
    <w:name w:val="toc 7"/>
    <w:basedOn w:val="TOC6"/>
    <w:next w:val="Normal"/>
    <w:semiHidden/>
    <w:rsid w:val="009309F5"/>
    <w:pPr>
      <w:ind w:left="2268" w:hanging="2268"/>
    </w:pPr>
  </w:style>
  <w:style w:type="paragraph" w:styleId="ListBullet2">
    <w:name w:val="List Bullet 2"/>
    <w:basedOn w:val="ListBullet"/>
    <w:rsid w:val="009309F5"/>
    <w:pPr>
      <w:numPr>
        <w:numId w:val="6"/>
      </w:numPr>
    </w:pPr>
  </w:style>
  <w:style w:type="paragraph" w:styleId="ListBullet">
    <w:name w:val="List Bullet"/>
    <w:basedOn w:val="BodyText"/>
    <w:rsid w:val="009309F5"/>
    <w:pPr>
      <w:numPr>
        <w:numId w:val="5"/>
      </w:numPr>
    </w:pPr>
  </w:style>
  <w:style w:type="paragraph" w:styleId="ListBullet3">
    <w:name w:val="List Bullet 3"/>
    <w:basedOn w:val="ListBullet2"/>
    <w:rsid w:val="009309F5"/>
    <w:pPr>
      <w:numPr>
        <w:numId w:val="7"/>
      </w:numPr>
    </w:pPr>
  </w:style>
  <w:style w:type="paragraph" w:customStyle="1" w:styleId="EQ">
    <w:name w:val="EQ"/>
    <w:basedOn w:val="Normal"/>
    <w:next w:val="Normal"/>
    <w:rsid w:val="009309F5"/>
    <w:pPr>
      <w:keepLines/>
      <w:tabs>
        <w:tab w:val="center" w:pos="4536"/>
        <w:tab w:val="right" w:pos="9072"/>
      </w:tabs>
      <w:spacing w:after="180"/>
    </w:pPr>
    <w:rPr>
      <w:noProof/>
    </w:rPr>
  </w:style>
  <w:style w:type="paragraph" w:styleId="List2">
    <w:name w:val="List 2"/>
    <w:basedOn w:val="List"/>
    <w:rsid w:val="009309F5"/>
    <w:pPr>
      <w:ind w:left="851"/>
    </w:pPr>
  </w:style>
  <w:style w:type="paragraph" w:styleId="List3">
    <w:name w:val="List 3"/>
    <w:basedOn w:val="List2"/>
    <w:rsid w:val="009309F5"/>
    <w:pPr>
      <w:ind w:left="1135"/>
    </w:pPr>
  </w:style>
  <w:style w:type="paragraph" w:styleId="List4">
    <w:name w:val="List 4"/>
    <w:basedOn w:val="List3"/>
    <w:rsid w:val="009309F5"/>
    <w:pPr>
      <w:ind w:left="1418"/>
    </w:pPr>
  </w:style>
  <w:style w:type="paragraph" w:styleId="List5">
    <w:name w:val="List 5"/>
    <w:basedOn w:val="List4"/>
    <w:rsid w:val="009309F5"/>
    <w:pPr>
      <w:ind w:left="1702"/>
    </w:pPr>
  </w:style>
  <w:style w:type="paragraph" w:customStyle="1" w:styleId="EditorsNote">
    <w:name w:val="Editor's Note"/>
    <w:basedOn w:val="Normal"/>
    <w:rsid w:val="009309F5"/>
    <w:pPr>
      <w:keepLines/>
      <w:spacing w:after="180"/>
      <w:ind w:left="1135" w:hanging="851"/>
    </w:pPr>
    <w:rPr>
      <w:color w:val="FF0000"/>
    </w:rPr>
  </w:style>
  <w:style w:type="paragraph" w:styleId="ListBullet4">
    <w:name w:val="List Bullet 4"/>
    <w:basedOn w:val="ListBullet3"/>
    <w:rsid w:val="009309F5"/>
    <w:pPr>
      <w:numPr>
        <w:numId w:val="8"/>
      </w:numPr>
    </w:pPr>
  </w:style>
  <w:style w:type="paragraph" w:styleId="ListBullet5">
    <w:name w:val="List Bullet 5"/>
    <w:basedOn w:val="ListBullet4"/>
    <w:rsid w:val="009309F5"/>
    <w:pPr>
      <w:numPr>
        <w:numId w:val="4"/>
      </w:numPr>
    </w:pPr>
  </w:style>
  <w:style w:type="paragraph" w:styleId="Footer">
    <w:name w:val="footer"/>
    <w:basedOn w:val="Header"/>
    <w:semiHidden/>
    <w:rsid w:val="009309F5"/>
    <w:pPr>
      <w:jc w:val="center"/>
    </w:pPr>
    <w:rPr>
      <w:i/>
      <w:iCs/>
    </w:rPr>
  </w:style>
  <w:style w:type="paragraph" w:customStyle="1" w:styleId="Reference">
    <w:name w:val="Reference"/>
    <w:basedOn w:val="Normal"/>
    <w:link w:val="ReferenceChar"/>
    <w:qFormat/>
    <w:rsid w:val="009309F5"/>
    <w:pPr>
      <w:numPr>
        <w:numId w:val="2"/>
      </w:numPr>
    </w:pPr>
  </w:style>
  <w:style w:type="paragraph" w:styleId="BalloonText">
    <w:name w:val="Balloon Text"/>
    <w:basedOn w:val="Normal"/>
    <w:semiHidden/>
    <w:rsid w:val="009309F5"/>
    <w:rPr>
      <w:rFonts w:ascii="Tahoma" w:hAnsi="Tahoma" w:cs="Tahoma"/>
      <w:sz w:val="16"/>
      <w:szCs w:val="16"/>
    </w:rPr>
  </w:style>
  <w:style w:type="character" w:styleId="PageNumber">
    <w:name w:val="page number"/>
    <w:semiHidden/>
    <w:rsid w:val="009309F5"/>
  </w:style>
  <w:style w:type="paragraph" w:styleId="BodyText">
    <w:name w:val="Body Text"/>
    <w:basedOn w:val="Normal"/>
    <w:link w:val="BodyTextChar"/>
    <w:rsid w:val="009309F5"/>
  </w:style>
  <w:style w:type="character" w:styleId="Hyperlink">
    <w:name w:val="Hyperlink"/>
    <w:uiPriority w:val="99"/>
    <w:rsid w:val="009309F5"/>
    <w:rPr>
      <w:color w:val="0000FF"/>
      <w:u w:val="single"/>
      <w:lang w:val="en-GB"/>
    </w:rPr>
  </w:style>
  <w:style w:type="character" w:styleId="FollowedHyperlink">
    <w:name w:val="FollowedHyperlink"/>
    <w:semiHidden/>
    <w:rsid w:val="009309F5"/>
    <w:rPr>
      <w:color w:val="FF0000"/>
      <w:u w:val="single"/>
    </w:rPr>
  </w:style>
  <w:style w:type="character" w:styleId="CommentReference">
    <w:name w:val="annotation reference"/>
    <w:semiHidden/>
    <w:rsid w:val="009309F5"/>
    <w:rPr>
      <w:sz w:val="16"/>
      <w:szCs w:val="16"/>
    </w:rPr>
  </w:style>
  <w:style w:type="paragraph" w:styleId="CommentText">
    <w:name w:val="annotation text"/>
    <w:basedOn w:val="Normal"/>
    <w:semiHidden/>
    <w:rsid w:val="009309F5"/>
  </w:style>
  <w:style w:type="paragraph" w:styleId="CommentSubject">
    <w:name w:val="annotation subject"/>
    <w:basedOn w:val="CommentText"/>
    <w:next w:val="CommentText"/>
    <w:semiHidden/>
    <w:rsid w:val="009309F5"/>
    <w:rPr>
      <w:b/>
      <w:bCs/>
    </w:rPr>
  </w:style>
  <w:style w:type="character" w:customStyle="1" w:styleId="Heading1Char">
    <w:name w:val="Heading 1 Char"/>
    <w:link w:val="Heading1"/>
    <w:rsid w:val="009309F5"/>
    <w:rPr>
      <w:rFonts w:ascii="Arial" w:hAnsi="Arial" w:cs="Arial"/>
      <w:sz w:val="36"/>
      <w:szCs w:val="36"/>
      <w:lang w:val="en-GB"/>
    </w:rPr>
  </w:style>
  <w:style w:type="paragraph" w:customStyle="1" w:styleId="B1">
    <w:name w:val="B1"/>
    <w:basedOn w:val="List"/>
    <w:qFormat/>
    <w:rsid w:val="009309F5"/>
    <w:pPr>
      <w:spacing w:after="180"/>
    </w:pPr>
  </w:style>
  <w:style w:type="paragraph" w:customStyle="1" w:styleId="B2">
    <w:name w:val="B2"/>
    <w:basedOn w:val="List2"/>
    <w:qFormat/>
    <w:rsid w:val="009309F5"/>
    <w:pPr>
      <w:spacing w:after="180"/>
    </w:pPr>
  </w:style>
  <w:style w:type="paragraph" w:customStyle="1" w:styleId="B3">
    <w:name w:val="B3"/>
    <w:basedOn w:val="List3"/>
    <w:qFormat/>
    <w:rsid w:val="009309F5"/>
    <w:pPr>
      <w:spacing w:after="180"/>
    </w:pPr>
  </w:style>
  <w:style w:type="paragraph" w:customStyle="1" w:styleId="B4">
    <w:name w:val="B4"/>
    <w:basedOn w:val="List4"/>
    <w:qFormat/>
    <w:rsid w:val="009309F5"/>
    <w:pPr>
      <w:spacing w:after="180"/>
    </w:pPr>
  </w:style>
  <w:style w:type="paragraph" w:customStyle="1" w:styleId="Proposal">
    <w:name w:val="Proposal"/>
    <w:basedOn w:val="Normal"/>
    <w:qFormat/>
    <w:rsid w:val="009309F5"/>
    <w:pPr>
      <w:numPr>
        <w:numId w:val="3"/>
      </w:numPr>
      <w:tabs>
        <w:tab w:val="clear" w:pos="1304"/>
        <w:tab w:val="left" w:pos="1701"/>
      </w:tabs>
      <w:ind w:left="1701" w:hanging="1701"/>
    </w:pPr>
    <w:rPr>
      <w:b/>
      <w:bCs/>
    </w:rPr>
  </w:style>
  <w:style w:type="character" w:customStyle="1" w:styleId="BodyTextChar">
    <w:name w:val="Body Text Char"/>
    <w:link w:val="BodyText"/>
    <w:rsid w:val="009309F5"/>
    <w:rPr>
      <w:rFonts w:ascii="Arial" w:hAnsi="Arial"/>
      <w:lang w:val="en-GB"/>
    </w:rPr>
  </w:style>
  <w:style w:type="paragraph" w:customStyle="1" w:styleId="B5">
    <w:name w:val="B5"/>
    <w:basedOn w:val="List5"/>
    <w:rsid w:val="009309F5"/>
    <w:pPr>
      <w:spacing w:after="180"/>
    </w:pPr>
  </w:style>
  <w:style w:type="paragraph" w:customStyle="1" w:styleId="EX">
    <w:name w:val="EX"/>
    <w:basedOn w:val="Normal"/>
    <w:rsid w:val="009309F5"/>
    <w:pPr>
      <w:keepLines/>
      <w:spacing w:after="180"/>
      <w:ind w:left="1702" w:hanging="1418"/>
    </w:pPr>
  </w:style>
  <w:style w:type="paragraph" w:customStyle="1" w:styleId="EW">
    <w:name w:val="EW"/>
    <w:basedOn w:val="EX"/>
    <w:rsid w:val="009309F5"/>
    <w:pPr>
      <w:spacing w:after="0"/>
    </w:pPr>
  </w:style>
  <w:style w:type="paragraph" w:customStyle="1" w:styleId="TAL">
    <w:name w:val="TAL"/>
    <w:basedOn w:val="Normal"/>
    <w:rsid w:val="009309F5"/>
    <w:pPr>
      <w:keepNext/>
      <w:keepLines/>
      <w:spacing w:after="0"/>
    </w:pPr>
    <w:rPr>
      <w:sz w:val="18"/>
    </w:rPr>
  </w:style>
  <w:style w:type="paragraph" w:customStyle="1" w:styleId="TAC">
    <w:name w:val="TAC"/>
    <w:basedOn w:val="TAL"/>
    <w:rsid w:val="009309F5"/>
    <w:pPr>
      <w:jc w:val="center"/>
    </w:pPr>
  </w:style>
  <w:style w:type="paragraph" w:customStyle="1" w:styleId="TAH">
    <w:name w:val="TAH"/>
    <w:basedOn w:val="TAC"/>
    <w:rsid w:val="009309F5"/>
    <w:rPr>
      <w:b/>
    </w:rPr>
  </w:style>
  <w:style w:type="paragraph" w:customStyle="1" w:styleId="TAN">
    <w:name w:val="TAN"/>
    <w:basedOn w:val="TAL"/>
    <w:rsid w:val="009309F5"/>
    <w:pPr>
      <w:ind w:left="851" w:hanging="851"/>
    </w:pPr>
  </w:style>
  <w:style w:type="paragraph" w:customStyle="1" w:styleId="TAR">
    <w:name w:val="TAR"/>
    <w:basedOn w:val="TAL"/>
    <w:rsid w:val="009309F5"/>
    <w:pPr>
      <w:jc w:val="right"/>
    </w:pPr>
  </w:style>
  <w:style w:type="paragraph" w:customStyle="1" w:styleId="TH">
    <w:name w:val="TH"/>
    <w:basedOn w:val="Normal"/>
    <w:rsid w:val="009309F5"/>
    <w:pPr>
      <w:keepNext/>
      <w:keepLines/>
      <w:spacing w:before="60" w:after="180"/>
      <w:jc w:val="center"/>
    </w:pPr>
    <w:rPr>
      <w:b/>
    </w:rPr>
  </w:style>
  <w:style w:type="paragraph" w:customStyle="1" w:styleId="TF">
    <w:name w:val="TF"/>
    <w:basedOn w:val="TH"/>
    <w:rsid w:val="009309F5"/>
    <w:pPr>
      <w:keepNext w:val="0"/>
      <w:spacing w:before="0" w:after="240"/>
    </w:pPr>
  </w:style>
  <w:style w:type="paragraph" w:customStyle="1" w:styleId="TT">
    <w:name w:val="TT"/>
    <w:basedOn w:val="Heading1"/>
    <w:next w:val="Normal"/>
    <w:rsid w:val="009309F5"/>
    <w:pPr>
      <w:numPr>
        <w:numId w:val="0"/>
      </w:numPr>
      <w:ind w:left="1134" w:hanging="1134"/>
      <w:outlineLvl w:val="9"/>
    </w:pPr>
    <w:rPr>
      <w:rFonts w:cs="Times New Roman"/>
      <w:szCs w:val="20"/>
      <w:lang w:eastAsia="en-US"/>
    </w:rPr>
  </w:style>
  <w:style w:type="paragraph" w:customStyle="1" w:styleId="ZA">
    <w:name w:val="ZA"/>
    <w:rsid w:val="009309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309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309F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309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309F5"/>
  </w:style>
  <w:style w:type="paragraph" w:customStyle="1" w:styleId="ZH">
    <w:name w:val="ZH"/>
    <w:rsid w:val="009309F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309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309F5"/>
    <w:pPr>
      <w:framePr w:hRule="auto" w:wrap="notBeside" w:y="852"/>
    </w:pPr>
    <w:rPr>
      <w:i w:val="0"/>
      <w:sz w:val="40"/>
    </w:rPr>
  </w:style>
  <w:style w:type="paragraph" w:customStyle="1" w:styleId="ZU">
    <w:name w:val="ZU"/>
    <w:rsid w:val="009309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309F5"/>
    <w:pPr>
      <w:framePr w:wrap="notBeside" w:y="16161"/>
    </w:pPr>
  </w:style>
  <w:style w:type="paragraph" w:customStyle="1" w:styleId="FP">
    <w:name w:val="FP"/>
    <w:basedOn w:val="Normal"/>
    <w:rsid w:val="009309F5"/>
    <w:pPr>
      <w:spacing w:after="0"/>
    </w:pPr>
  </w:style>
  <w:style w:type="paragraph" w:customStyle="1" w:styleId="Observation">
    <w:name w:val="Observation"/>
    <w:basedOn w:val="Proposal"/>
    <w:qFormat/>
    <w:rsid w:val="009309F5"/>
    <w:pPr>
      <w:numPr>
        <w:numId w:val="13"/>
      </w:numPr>
      <w:ind w:left="1701" w:hanging="1701"/>
    </w:pPr>
  </w:style>
  <w:style w:type="paragraph" w:styleId="TableofFigures">
    <w:name w:val="table of figures"/>
    <w:basedOn w:val="Normal"/>
    <w:next w:val="Normal"/>
    <w:uiPriority w:val="99"/>
    <w:rsid w:val="009309F5"/>
    <w:pPr>
      <w:ind w:left="1418" w:hanging="1418"/>
    </w:pPr>
    <w:rPr>
      <w:b/>
    </w:rPr>
  </w:style>
  <w:style w:type="paragraph" w:customStyle="1" w:styleId="CRCoverPage">
    <w:name w:val="CR Cover Page"/>
    <w:rsid w:val="009309F5"/>
    <w:pPr>
      <w:spacing w:after="120"/>
    </w:pPr>
    <w:rPr>
      <w:rFonts w:ascii="Arial" w:hAnsi="Arial"/>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50E6"/>
    <w:rPr>
      <w:rFonts w:ascii="Arial" w:hAnsi="Arial"/>
      <w:b/>
      <w:bCs/>
      <w:lang w:val="en-GB"/>
    </w:rPr>
  </w:style>
  <w:style w:type="character" w:customStyle="1" w:styleId="ReferenceChar">
    <w:name w:val="Reference Char"/>
    <w:link w:val="Reference"/>
    <w:rsid w:val="002C7B11"/>
    <w:rPr>
      <w:rFonts w:ascii="Arial" w:hAnsi="Arial"/>
      <w:lang w:val="en-GB"/>
    </w:rPr>
  </w:style>
  <w:style w:type="character" w:styleId="UnresolvedMention">
    <w:name w:val="Unresolved Mention"/>
    <w:basedOn w:val="DefaultParagraphFont"/>
    <w:uiPriority w:val="99"/>
    <w:semiHidden/>
    <w:unhideWhenUsed/>
    <w:rsid w:val="00D724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tsi.org/deliver/etsi_en/302500_302599/302567/02.00.22_20/en_302567v020022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fcc.gov/document/part-15-rules-unlicensed-operation-57-64-ghz-b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371E0-8026-4BDE-AEC2-6E87165A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2018-02-16T08:41:00Z</dcterms:created>
  <dcterms:modified xsi:type="dcterms:W3CDTF">2018-02-16T08:50:00Z</dcterms:modified>
</cp:coreProperties>
</file>